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3505" w:rsidRDefault="00BD3770">
      <w:pPr>
        <w:pStyle w:val="a3"/>
        <w:spacing w:after="0"/>
        <w:ind w:right="-600" w:firstLine="5820"/>
        <w:jc w:val="left"/>
        <w:rPr>
          <w:sz w:val="24"/>
          <w:szCs w:val="24"/>
        </w:rPr>
      </w:pPr>
      <w:r>
        <w:rPr>
          <w:sz w:val="24"/>
          <w:szCs w:val="24"/>
        </w:rPr>
        <w:t>ЗАТВЕРДЖЕНО</w:t>
      </w:r>
    </w:p>
    <w:p w:rsidR="00743505" w:rsidRDefault="00BD3770">
      <w:pPr>
        <w:pStyle w:val="a3"/>
        <w:spacing w:after="0"/>
        <w:ind w:right="-600" w:firstLine="5820"/>
        <w:jc w:val="left"/>
        <w:rPr>
          <w:sz w:val="24"/>
          <w:szCs w:val="24"/>
        </w:rPr>
      </w:pPr>
      <w:bookmarkStart w:id="0" w:name="_lpyphbnezd4p" w:colFirst="0" w:colLast="0"/>
      <w:bookmarkEnd w:id="0"/>
      <w:r>
        <w:rPr>
          <w:sz w:val="24"/>
          <w:szCs w:val="24"/>
        </w:rPr>
        <w:t xml:space="preserve">Розпорядження начальника </w:t>
      </w:r>
    </w:p>
    <w:p w:rsidR="00743505" w:rsidRDefault="00BD3770">
      <w:pPr>
        <w:pStyle w:val="a3"/>
        <w:spacing w:after="0"/>
        <w:ind w:right="-600" w:firstLine="5820"/>
        <w:jc w:val="left"/>
        <w:rPr>
          <w:sz w:val="24"/>
          <w:szCs w:val="24"/>
        </w:rPr>
      </w:pPr>
      <w:bookmarkStart w:id="1" w:name="_o6wy5d9otwvj" w:colFirst="0" w:colLast="0"/>
      <w:bookmarkEnd w:id="1"/>
      <w:r>
        <w:rPr>
          <w:sz w:val="24"/>
          <w:szCs w:val="24"/>
        </w:rPr>
        <w:t>обласної військової адміністрації</w:t>
      </w:r>
    </w:p>
    <w:p w:rsidR="00743505" w:rsidRDefault="00BD3770">
      <w:pPr>
        <w:pStyle w:val="a3"/>
        <w:spacing w:after="0"/>
        <w:ind w:right="-600" w:firstLine="5820"/>
        <w:jc w:val="left"/>
        <w:rPr>
          <w:sz w:val="24"/>
          <w:szCs w:val="24"/>
        </w:rPr>
      </w:pPr>
      <w:bookmarkStart w:id="2" w:name="_tlagcbtmls6n" w:colFirst="0" w:colLast="0"/>
      <w:bookmarkEnd w:id="2"/>
      <w:r>
        <w:rPr>
          <w:sz w:val="24"/>
          <w:szCs w:val="24"/>
        </w:rPr>
        <w:t>______________ №____________</w:t>
      </w:r>
    </w:p>
    <w:p w:rsidR="00743505" w:rsidRDefault="00743505">
      <w:pPr>
        <w:pStyle w:val="a3"/>
        <w:ind w:right="-607"/>
        <w:jc w:val="center"/>
        <w:rPr>
          <w:sz w:val="44"/>
          <w:szCs w:val="44"/>
        </w:rPr>
      </w:pPr>
      <w:bookmarkStart w:id="3" w:name="_hfyf6zcey6hf" w:colFirst="0" w:colLast="0"/>
      <w:bookmarkEnd w:id="3"/>
    </w:p>
    <w:p w:rsidR="00743505" w:rsidRDefault="00743505">
      <w:pPr>
        <w:pStyle w:val="a3"/>
        <w:ind w:right="-607"/>
        <w:jc w:val="center"/>
      </w:pPr>
      <w:bookmarkStart w:id="4" w:name="_wdfl2ph7augc" w:colFirst="0" w:colLast="0"/>
      <w:bookmarkEnd w:id="4"/>
    </w:p>
    <w:p w:rsidR="00743505" w:rsidRDefault="00743505">
      <w:pPr>
        <w:pStyle w:val="a3"/>
        <w:ind w:right="-607"/>
        <w:jc w:val="center"/>
      </w:pPr>
      <w:bookmarkStart w:id="5" w:name="_7zkbv4hnsyjz" w:colFirst="0" w:colLast="0"/>
      <w:bookmarkEnd w:id="5"/>
    </w:p>
    <w:p w:rsidR="00743505" w:rsidRDefault="00743505" w:rsidP="00504AE2">
      <w:pPr>
        <w:pStyle w:val="a3"/>
        <w:ind w:right="-280"/>
        <w:jc w:val="center"/>
      </w:pPr>
      <w:bookmarkStart w:id="6" w:name="_y3bggf5e1tz" w:colFirst="0" w:colLast="0"/>
      <w:bookmarkEnd w:id="6"/>
    </w:p>
    <w:p w:rsidR="00743505" w:rsidRDefault="00743505">
      <w:pPr>
        <w:pStyle w:val="a3"/>
        <w:ind w:right="-607"/>
        <w:jc w:val="center"/>
      </w:pPr>
      <w:bookmarkStart w:id="7" w:name="_2b8ajc74wwdv" w:colFirst="0" w:colLast="0"/>
      <w:bookmarkEnd w:id="7"/>
    </w:p>
    <w:p w:rsidR="00743505" w:rsidRDefault="00743505">
      <w:pPr>
        <w:pStyle w:val="a3"/>
        <w:ind w:right="-607"/>
        <w:jc w:val="left"/>
      </w:pPr>
      <w:bookmarkStart w:id="8" w:name="_m4sy740rg3r" w:colFirst="0" w:colLast="0"/>
      <w:bookmarkEnd w:id="8"/>
    </w:p>
    <w:p w:rsidR="00743505" w:rsidRDefault="00BD3770">
      <w:pPr>
        <w:pStyle w:val="a3"/>
        <w:ind w:right="-607"/>
        <w:jc w:val="center"/>
      </w:pPr>
      <w:bookmarkStart w:id="9" w:name="_o68f2fouq3l4" w:colFirst="0" w:colLast="0"/>
      <w:bookmarkEnd w:id="9"/>
      <w:r>
        <w:t>Звіт про проведення комплексного інформаційного аудиту Львівської обласної державної (військової) адміністрації</w:t>
      </w:r>
    </w:p>
    <w:p w:rsidR="00743505" w:rsidRDefault="00743505"/>
    <w:p w:rsidR="00743505" w:rsidRDefault="00743505"/>
    <w:p w:rsidR="00743505" w:rsidRDefault="00743505"/>
    <w:p w:rsidR="00743505" w:rsidRDefault="00743505"/>
    <w:p w:rsidR="00743505" w:rsidRDefault="00743505"/>
    <w:p w:rsidR="00743505" w:rsidRDefault="00743505"/>
    <w:p w:rsidR="00743505" w:rsidRDefault="00743505"/>
    <w:p w:rsidR="00743505" w:rsidRDefault="00743505"/>
    <w:p w:rsidR="00743505" w:rsidRDefault="00743505"/>
    <w:p w:rsidR="00743505" w:rsidRDefault="00743505"/>
    <w:p w:rsidR="00743505" w:rsidRDefault="00743505"/>
    <w:p w:rsidR="00743505" w:rsidRDefault="00743505"/>
    <w:p w:rsidR="00743505" w:rsidRDefault="00BD3770">
      <w:pPr>
        <w:jc w:val="center"/>
        <w:rPr>
          <w:b/>
        </w:rPr>
      </w:pPr>
      <w:r>
        <w:rPr>
          <w:b/>
        </w:rPr>
        <w:t>Львів 2025</w:t>
      </w:r>
    </w:p>
    <w:p w:rsidR="00743505" w:rsidRDefault="00743505">
      <w:pPr>
        <w:ind w:right="-607"/>
      </w:pPr>
    </w:p>
    <w:p w:rsidR="00743505" w:rsidRDefault="00BD3770">
      <w:pPr>
        <w:pStyle w:val="2"/>
        <w:ind w:right="-607"/>
      </w:pPr>
      <w:bookmarkStart w:id="10" w:name="_894mmftq2tpq" w:colFirst="0" w:colLast="0"/>
      <w:bookmarkEnd w:id="10"/>
      <w:r>
        <w:lastRenderedPageBreak/>
        <w:t>Вступ</w:t>
      </w:r>
    </w:p>
    <w:p w:rsidR="00743505" w:rsidRDefault="00BD3770">
      <w:pPr>
        <w:ind w:right="-7"/>
      </w:pPr>
      <w:r>
        <w:t xml:space="preserve">Інформаційний аудит Львівської обласної державної (військової) адміністрації (далі — ЛОВА) проводиться на виконання вимог Постанови Кабінету Міністрів України №835 “Про затвердження Положення про набори даних, які підлягають оприлюдненню у формі відкритих даних” від 21 жовтня 2015 року (з урахуванням змін) за методикою, рекомендованою Міністерством цифрової трансформації України. </w:t>
      </w:r>
    </w:p>
    <w:p w:rsidR="00743505" w:rsidRDefault="00BD3770">
      <w:pPr>
        <w:ind w:right="-7"/>
      </w:pPr>
      <w:r>
        <w:t>Метою інформаційного аудиту було визначено систематизацію публічної інформації з якою працюють посадові особи ЛОВА, а також з метою підвищення прозорості роботи.</w:t>
      </w:r>
    </w:p>
    <w:p w:rsidR="00743505" w:rsidRDefault="00BD3770">
      <w:pPr>
        <w:ind w:right="-7"/>
      </w:pPr>
      <w:r>
        <w:t>В межах інформаційного аудиту виконувались наступні завдання:</w:t>
      </w:r>
    </w:p>
    <w:p w:rsidR="00743505" w:rsidRDefault="00BD3770">
      <w:pPr>
        <w:numPr>
          <w:ilvl w:val="0"/>
          <w:numId w:val="5"/>
        </w:numPr>
        <w:spacing w:after="0"/>
        <w:ind w:right="-7"/>
      </w:pPr>
      <w:r>
        <w:t>Складання переліку публічної інформації з якою працюють посадові особи ЛОВА;</w:t>
      </w:r>
    </w:p>
    <w:p w:rsidR="00743505" w:rsidRDefault="00BD3770">
      <w:pPr>
        <w:numPr>
          <w:ilvl w:val="0"/>
          <w:numId w:val="5"/>
        </w:numPr>
        <w:spacing w:after="0"/>
        <w:ind w:right="-7"/>
      </w:pPr>
      <w:r>
        <w:t>Визначення публічної інформації, яка може бути додатково оприлюднена у формі відкритих даних;</w:t>
      </w:r>
    </w:p>
    <w:p w:rsidR="00743505" w:rsidRDefault="00BD3770">
      <w:pPr>
        <w:numPr>
          <w:ilvl w:val="0"/>
          <w:numId w:val="5"/>
        </w:numPr>
        <w:spacing w:after="0"/>
        <w:ind w:right="-7"/>
      </w:pPr>
      <w:r>
        <w:t>Оцінка якості оприлюднення публічної інформації у формі відкритих даних;</w:t>
      </w:r>
    </w:p>
    <w:p w:rsidR="00743505" w:rsidRDefault="00BD3770">
      <w:pPr>
        <w:numPr>
          <w:ilvl w:val="0"/>
          <w:numId w:val="5"/>
        </w:numPr>
        <w:spacing w:after="0"/>
        <w:ind w:right="-7"/>
      </w:pPr>
      <w:r>
        <w:t>Аналіз нормативно-правової бази оприлюднення публічної інформації та публічної інформації у формі відкритих даних;</w:t>
      </w:r>
    </w:p>
    <w:p w:rsidR="00743505" w:rsidRDefault="00BD3770">
      <w:pPr>
        <w:numPr>
          <w:ilvl w:val="0"/>
          <w:numId w:val="5"/>
        </w:numPr>
        <w:spacing w:after="0"/>
        <w:ind w:right="-7"/>
      </w:pPr>
      <w:r>
        <w:t>Аналіз способів роботи з інформацією посадовими особами ЛОВА, надання рекомендацій щодо покращення такої роботи;</w:t>
      </w:r>
    </w:p>
    <w:p w:rsidR="00743505" w:rsidRDefault="00BD3770">
      <w:pPr>
        <w:numPr>
          <w:ilvl w:val="0"/>
          <w:numId w:val="5"/>
        </w:numPr>
        <w:ind w:right="-7"/>
      </w:pPr>
      <w:r>
        <w:t>Визначення переліку публічної інформації, яка може бути використана для здійснення управлінської аналітики та прийняття рішень на основі даних.</w:t>
      </w:r>
    </w:p>
    <w:p w:rsidR="00743505" w:rsidRDefault="00BD3770">
      <w:pPr>
        <w:ind w:right="-7"/>
      </w:pPr>
      <w:r>
        <w:t>Всі поставленні для виконання інформаційного аудиту завдання були виконані.</w:t>
      </w:r>
    </w:p>
    <w:p w:rsidR="00743505" w:rsidRDefault="00BD3770">
      <w:pPr>
        <w:ind w:right="-7"/>
      </w:pPr>
      <w:r>
        <w:t>Відповідно до рекомендацій, наданих Міністерством цифрової трансформації України, інформаційний аудит проводиться комплексно для всіх структурних підрозділів ЛОВА із статусом юридичної особи або без такого статусу.</w:t>
      </w:r>
    </w:p>
    <w:p w:rsidR="00743505" w:rsidRDefault="00BD3770">
      <w:pPr>
        <w:ind w:right="-7"/>
        <w:rPr>
          <w:b/>
          <w:sz w:val="28"/>
          <w:szCs w:val="28"/>
        </w:rPr>
      </w:pPr>
      <w:r>
        <w:t xml:space="preserve">Відповідно до Розпорядження Начальника ЛОВА </w:t>
      </w:r>
      <w:r>
        <w:rPr>
          <w:highlight w:val="white"/>
        </w:rPr>
        <w:t>№755/0/5-25ВА</w:t>
      </w:r>
      <w:r>
        <w:t xml:space="preserve"> від 27.06.2025 (</w:t>
      </w:r>
      <w:hyperlink r:id="rId7">
        <w:r>
          <w:rPr>
            <w:u w:val="single"/>
          </w:rPr>
          <w:t>https://loda.gov.ua/documents/141098</w:t>
        </w:r>
      </w:hyperlink>
      <w:r>
        <w:t xml:space="preserve">) інформаційний аудит проводився за наступним графіком: </w:t>
      </w:r>
    </w:p>
    <w:tbl>
      <w:tblPr>
        <w:tblStyle w:val="a5"/>
        <w:tblW w:w="14610" w:type="dxa"/>
        <w:tblInd w:w="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531"/>
        <w:gridCol w:w="7079"/>
      </w:tblGrid>
      <w:tr w:rsidR="00743505">
        <w:tc>
          <w:tcPr>
            <w:tcW w:w="5196" w:type="dxa"/>
            <w:shd w:val="clear" w:color="auto" w:fill="auto"/>
            <w:tcMar>
              <w:top w:w="100" w:type="dxa"/>
              <w:left w:w="100" w:type="dxa"/>
              <w:bottom w:w="100" w:type="dxa"/>
              <w:right w:w="100" w:type="dxa"/>
            </w:tcMar>
            <w:vAlign w:val="center"/>
          </w:tcPr>
          <w:p w:rsidR="00743505" w:rsidRDefault="00BD3770">
            <w:pPr>
              <w:widowControl w:val="0"/>
              <w:spacing w:after="0"/>
              <w:ind w:right="-607"/>
              <w:jc w:val="center"/>
              <w:rPr>
                <w:b/>
              </w:rPr>
            </w:pPr>
            <w:r>
              <w:rPr>
                <w:b/>
              </w:rPr>
              <w:t>Назва етапу</w:t>
            </w:r>
          </w:p>
        </w:tc>
        <w:tc>
          <w:tcPr>
            <w:tcW w:w="4884" w:type="dxa"/>
            <w:shd w:val="clear" w:color="auto" w:fill="auto"/>
            <w:tcMar>
              <w:top w:w="100" w:type="dxa"/>
              <w:left w:w="100" w:type="dxa"/>
              <w:bottom w:w="100" w:type="dxa"/>
              <w:right w:w="100" w:type="dxa"/>
            </w:tcMar>
            <w:vAlign w:val="center"/>
          </w:tcPr>
          <w:p w:rsidR="00743505" w:rsidRDefault="00BD3770" w:rsidP="00504AE2">
            <w:pPr>
              <w:widowControl w:val="0"/>
              <w:spacing w:after="0"/>
              <w:ind w:right="-607"/>
              <w:jc w:val="left"/>
              <w:rPr>
                <w:b/>
              </w:rPr>
            </w:pPr>
            <w:r>
              <w:rPr>
                <w:b/>
              </w:rPr>
              <w:t>Дати проведення</w:t>
            </w:r>
          </w:p>
        </w:tc>
      </w:tr>
      <w:tr w:rsidR="00743505">
        <w:tc>
          <w:tcPr>
            <w:tcW w:w="5196" w:type="dxa"/>
            <w:shd w:val="clear" w:color="auto" w:fill="auto"/>
            <w:tcMar>
              <w:top w:w="100" w:type="dxa"/>
              <w:left w:w="100" w:type="dxa"/>
              <w:bottom w:w="100" w:type="dxa"/>
              <w:right w:w="100" w:type="dxa"/>
            </w:tcMar>
            <w:vAlign w:val="center"/>
          </w:tcPr>
          <w:p w:rsidR="00743505" w:rsidRDefault="00BD3770">
            <w:pPr>
              <w:spacing w:after="0"/>
              <w:ind w:right="19"/>
            </w:pPr>
            <w:r>
              <w:t>Проведення підготовчого етапу</w:t>
            </w:r>
          </w:p>
        </w:tc>
        <w:tc>
          <w:tcPr>
            <w:tcW w:w="4884" w:type="dxa"/>
            <w:shd w:val="clear" w:color="auto" w:fill="auto"/>
            <w:tcMar>
              <w:top w:w="100" w:type="dxa"/>
              <w:left w:w="100" w:type="dxa"/>
              <w:bottom w:w="100" w:type="dxa"/>
              <w:right w:w="100" w:type="dxa"/>
            </w:tcMar>
            <w:vAlign w:val="center"/>
          </w:tcPr>
          <w:p w:rsidR="00743505" w:rsidRDefault="00BD3770" w:rsidP="00504AE2">
            <w:pPr>
              <w:widowControl w:val="0"/>
              <w:spacing w:after="0"/>
              <w:ind w:left="-576" w:right="19" w:firstLine="576"/>
            </w:pPr>
            <w:r>
              <w:t>30 червня–15 липня 2025 року</w:t>
            </w:r>
          </w:p>
        </w:tc>
      </w:tr>
      <w:tr w:rsidR="00743505">
        <w:trPr>
          <w:trHeight w:val="748"/>
        </w:trPr>
        <w:tc>
          <w:tcPr>
            <w:tcW w:w="5196" w:type="dxa"/>
            <w:shd w:val="clear" w:color="auto" w:fill="auto"/>
            <w:tcMar>
              <w:top w:w="100" w:type="dxa"/>
              <w:left w:w="100" w:type="dxa"/>
              <w:bottom w:w="100" w:type="dxa"/>
              <w:right w:w="100" w:type="dxa"/>
            </w:tcMar>
            <w:vAlign w:val="center"/>
          </w:tcPr>
          <w:p w:rsidR="00743505" w:rsidRDefault="00BD3770">
            <w:pPr>
              <w:spacing w:after="0"/>
              <w:ind w:right="19"/>
            </w:pPr>
            <w:r>
              <w:t>Проведення консультацій з громадськістю</w:t>
            </w:r>
          </w:p>
        </w:tc>
        <w:tc>
          <w:tcPr>
            <w:tcW w:w="4884" w:type="dxa"/>
            <w:shd w:val="clear" w:color="auto" w:fill="auto"/>
            <w:tcMar>
              <w:top w:w="100" w:type="dxa"/>
              <w:left w:w="100" w:type="dxa"/>
              <w:bottom w:w="100" w:type="dxa"/>
              <w:right w:w="100" w:type="dxa"/>
            </w:tcMar>
            <w:vAlign w:val="center"/>
          </w:tcPr>
          <w:p w:rsidR="00743505" w:rsidRDefault="00BD3770">
            <w:pPr>
              <w:widowControl w:val="0"/>
              <w:spacing w:after="0"/>
              <w:ind w:right="19"/>
            </w:pPr>
            <w:r>
              <w:t>30 червня–15 липня 2025 року</w:t>
            </w:r>
          </w:p>
        </w:tc>
      </w:tr>
      <w:tr w:rsidR="00743505">
        <w:trPr>
          <w:trHeight w:val="263"/>
        </w:trPr>
        <w:tc>
          <w:tcPr>
            <w:tcW w:w="5196" w:type="dxa"/>
            <w:shd w:val="clear" w:color="auto" w:fill="auto"/>
            <w:tcMar>
              <w:top w:w="100" w:type="dxa"/>
              <w:left w:w="100" w:type="dxa"/>
              <w:bottom w:w="100" w:type="dxa"/>
              <w:right w:w="100" w:type="dxa"/>
            </w:tcMar>
            <w:vAlign w:val="center"/>
          </w:tcPr>
          <w:p w:rsidR="00743505" w:rsidRDefault="00BD3770">
            <w:pPr>
              <w:spacing w:after="0"/>
              <w:ind w:right="19"/>
            </w:pPr>
            <w:r>
              <w:t>Проведення віддаленого інформаційного аудиту</w:t>
            </w:r>
          </w:p>
        </w:tc>
        <w:tc>
          <w:tcPr>
            <w:tcW w:w="4884" w:type="dxa"/>
            <w:shd w:val="clear" w:color="auto" w:fill="auto"/>
            <w:tcMar>
              <w:top w:w="100" w:type="dxa"/>
              <w:left w:w="100" w:type="dxa"/>
              <w:bottom w:w="100" w:type="dxa"/>
              <w:right w:w="100" w:type="dxa"/>
            </w:tcMar>
            <w:vAlign w:val="center"/>
          </w:tcPr>
          <w:p w:rsidR="00743505" w:rsidRDefault="00BD3770">
            <w:pPr>
              <w:widowControl w:val="0"/>
              <w:spacing w:after="0"/>
              <w:ind w:right="19"/>
            </w:pPr>
            <w:r>
              <w:t>16–25 липня 2025 року</w:t>
            </w:r>
          </w:p>
        </w:tc>
      </w:tr>
      <w:tr w:rsidR="00743505">
        <w:tc>
          <w:tcPr>
            <w:tcW w:w="5196" w:type="dxa"/>
            <w:shd w:val="clear" w:color="auto" w:fill="auto"/>
            <w:tcMar>
              <w:top w:w="100" w:type="dxa"/>
              <w:left w:w="100" w:type="dxa"/>
              <w:bottom w:w="100" w:type="dxa"/>
              <w:right w:w="100" w:type="dxa"/>
            </w:tcMar>
            <w:vAlign w:val="center"/>
          </w:tcPr>
          <w:p w:rsidR="00743505" w:rsidRDefault="00BD3770">
            <w:pPr>
              <w:spacing w:after="0"/>
              <w:ind w:right="19"/>
            </w:pPr>
            <w:r>
              <w:t xml:space="preserve">Затвердження графіка проведення </w:t>
            </w:r>
            <w:proofErr w:type="spellStart"/>
            <w:r>
              <w:t>інтервʼю</w:t>
            </w:r>
            <w:proofErr w:type="spellEnd"/>
          </w:p>
        </w:tc>
        <w:tc>
          <w:tcPr>
            <w:tcW w:w="4884" w:type="dxa"/>
            <w:shd w:val="clear" w:color="auto" w:fill="auto"/>
            <w:tcMar>
              <w:top w:w="100" w:type="dxa"/>
              <w:left w:w="100" w:type="dxa"/>
              <w:bottom w:w="100" w:type="dxa"/>
              <w:right w:w="100" w:type="dxa"/>
            </w:tcMar>
            <w:vAlign w:val="center"/>
          </w:tcPr>
          <w:p w:rsidR="00743505" w:rsidRDefault="00BD3770">
            <w:pPr>
              <w:widowControl w:val="0"/>
              <w:spacing w:after="0"/>
              <w:ind w:right="19"/>
            </w:pPr>
            <w:r>
              <w:t>28 липня 2025 року</w:t>
            </w:r>
          </w:p>
        </w:tc>
      </w:tr>
      <w:tr w:rsidR="00743505">
        <w:tc>
          <w:tcPr>
            <w:tcW w:w="5196" w:type="dxa"/>
            <w:shd w:val="clear" w:color="auto" w:fill="auto"/>
            <w:tcMar>
              <w:top w:w="100" w:type="dxa"/>
              <w:left w:w="100" w:type="dxa"/>
              <w:bottom w:w="100" w:type="dxa"/>
              <w:right w:w="100" w:type="dxa"/>
            </w:tcMar>
            <w:vAlign w:val="center"/>
          </w:tcPr>
          <w:p w:rsidR="00743505" w:rsidRDefault="00BD3770">
            <w:pPr>
              <w:spacing w:after="0"/>
              <w:ind w:right="19"/>
            </w:pPr>
            <w:r>
              <w:t xml:space="preserve">Проведення </w:t>
            </w:r>
            <w:proofErr w:type="spellStart"/>
            <w:r>
              <w:t>інтервʼю</w:t>
            </w:r>
            <w:proofErr w:type="spellEnd"/>
            <w:r>
              <w:t xml:space="preserve"> посадових осіб визначених структурних підрозділів</w:t>
            </w:r>
          </w:p>
        </w:tc>
        <w:tc>
          <w:tcPr>
            <w:tcW w:w="4884" w:type="dxa"/>
            <w:shd w:val="clear" w:color="auto" w:fill="auto"/>
            <w:tcMar>
              <w:top w:w="100" w:type="dxa"/>
              <w:left w:w="100" w:type="dxa"/>
              <w:bottom w:w="100" w:type="dxa"/>
              <w:right w:w="100" w:type="dxa"/>
            </w:tcMar>
            <w:vAlign w:val="center"/>
          </w:tcPr>
          <w:p w:rsidR="00504AE2" w:rsidRDefault="00BD3770">
            <w:pPr>
              <w:widowControl w:val="0"/>
              <w:spacing w:after="0"/>
              <w:ind w:right="19"/>
            </w:pPr>
            <w:r>
              <w:t>29 липня–08 серпня 2025 року</w:t>
            </w:r>
          </w:p>
          <w:p w:rsidR="00743505" w:rsidRPr="00504AE2" w:rsidRDefault="00743505" w:rsidP="00504AE2"/>
        </w:tc>
      </w:tr>
      <w:tr w:rsidR="00743505">
        <w:tc>
          <w:tcPr>
            <w:tcW w:w="5196" w:type="dxa"/>
            <w:shd w:val="clear" w:color="auto" w:fill="auto"/>
            <w:tcMar>
              <w:top w:w="100" w:type="dxa"/>
              <w:left w:w="100" w:type="dxa"/>
              <w:bottom w:w="100" w:type="dxa"/>
              <w:right w:w="100" w:type="dxa"/>
            </w:tcMar>
            <w:vAlign w:val="center"/>
          </w:tcPr>
          <w:p w:rsidR="00743505" w:rsidRDefault="00BD3770">
            <w:pPr>
              <w:spacing w:after="0"/>
              <w:ind w:right="19"/>
            </w:pPr>
            <w:r>
              <w:lastRenderedPageBreak/>
              <w:t>Підготовка звіту за результатами інформаційного аудиту</w:t>
            </w:r>
          </w:p>
        </w:tc>
        <w:tc>
          <w:tcPr>
            <w:tcW w:w="4884" w:type="dxa"/>
            <w:shd w:val="clear" w:color="auto" w:fill="auto"/>
            <w:tcMar>
              <w:top w:w="100" w:type="dxa"/>
              <w:left w:w="100" w:type="dxa"/>
              <w:bottom w:w="100" w:type="dxa"/>
              <w:right w:w="100" w:type="dxa"/>
            </w:tcMar>
            <w:vAlign w:val="center"/>
          </w:tcPr>
          <w:p w:rsidR="00743505" w:rsidRDefault="00BD3770">
            <w:pPr>
              <w:widowControl w:val="0"/>
              <w:spacing w:after="0"/>
              <w:ind w:right="19"/>
            </w:pPr>
            <w:r>
              <w:t>11–22 серпня 2025 року</w:t>
            </w:r>
          </w:p>
        </w:tc>
      </w:tr>
    </w:tbl>
    <w:p w:rsidR="00743505" w:rsidRDefault="00BD3770">
      <w:pPr>
        <w:spacing w:before="200"/>
        <w:ind w:right="-7"/>
      </w:pPr>
      <w:r>
        <w:t>До команди інформаційних аудиторів було включено:</w:t>
      </w:r>
    </w:p>
    <w:p w:rsidR="00743505" w:rsidRDefault="00BD3770">
      <w:pPr>
        <w:numPr>
          <w:ilvl w:val="0"/>
          <w:numId w:val="13"/>
        </w:numPr>
        <w:spacing w:after="0"/>
        <w:ind w:right="-7"/>
      </w:pPr>
      <w:proofErr w:type="spellStart"/>
      <w:r>
        <w:t>Хомик</w:t>
      </w:r>
      <w:proofErr w:type="spellEnd"/>
      <w:r>
        <w:t xml:space="preserve"> Наталію Андріївну – заступника начальника Управління з питань цифрового розвитку Львівської обласної державної адміністрації;</w:t>
      </w:r>
    </w:p>
    <w:p w:rsidR="00743505" w:rsidRDefault="00BD3770">
      <w:pPr>
        <w:numPr>
          <w:ilvl w:val="0"/>
          <w:numId w:val="13"/>
        </w:numPr>
        <w:spacing w:after="0"/>
        <w:ind w:right="-7"/>
      </w:pPr>
      <w:r>
        <w:t>Іващенка Юрія Валерійовича – провідного консультанта Відділу цифрової трансформації та інфраструктури Управління з питань цифрового розвитку Львівської обласної державної адміністрації;</w:t>
      </w:r>
    </w:p>
    <w:p w:rsidR="00743505" w:rsidRDefault="00BD3770">
      <w:pPr>
        <w:numPr>
          <w:ilvl w:val="0"/>
          <w:numId w:val="13"/>
        </w:numPr>
        <w:ind w:right="-7"/>
      </w:pPr>
      <w:proofErr w:type="spellStart"/>
      <w:r>
        <w:t>Петрикович</w:t>
      </w:r>
      <w:proofErr w:type="spellEnd"/>
      <w:r>
        <w:t xml:space="preserve"> Софію Ігорівну – головного спеціаліста сектору з питань запобігання та виявлення корупції апарату Львівської  обласної державної адміністрації</w:t>
      </w:r>
    </w:p>
    <w:p w:rsidR="00743505" w:rsidRDefault="00BD3770">
      <w:pPr>
        <w:shd w:val="clear" w:color="auto" w:fill="FFFFFF"/>
        <w:ind w:right="-7" w:firstLine="720"/>
      </w:pPr>
      <w:r>
        <w:t xml:space="preserve">Контроль за виконанням розпорядження покладено на заступника голови обласної державної адміністрації з питань цифрового розвитку, цифрових трансформацій і </w:t>
      </w:r>
      <w:proofErr w:type="spellStart"/>
      <w:r>
        <w:t>цифровізації</w:t>
      </w:r>
      <w:proofErr w:type="spellEnd"/>
      <w:r>
        <w:t xml:space="preserve"> (CDTO) О. </w:t>
      </w:r>
      <w:proofErr w:type="spellStart"/>
      <w:r>
        <w:t>Кулепіна</w:t>
      </w:r>
      <w:proofErr w:type="spellEnd"/>
      <w:r>
        <w:t xml:space="preserve">. </w:t>
      </w:r>
    </w:p>
    <w:p w:rsidR="00743505" w:rsidRDefault="00BD3770">
      <w:pPr>
        <w:shd w:val="clear" w:color="auto" w:fill="FFFFFF"/>
        <w:ind w:right="-7" w:firstLine="720"/>
      </w:pPr>
      <w:r>
        <w:t xml:space="preserve">Віддалений інформаційний аудит було проведено в усіх структурних підрозділах ЛОВА, детальніше про це описано у відповідному розділі. </w:t>
      </w:r>
    </w:p>
    <w:p w:rsidR="00743505" w:rsidRDefault="00BD3770">
      <w:pPr>
        <w:ind w:right="-7" w:firstLine="720"/>
      </w:pPr>
      <w:r>
        <w:t xml:space="preserve">Очний інформаційний аудит — </w:t>
      </w:r>
      <w:proofErr w:type="spellStart"/>
      <w:r>
        <w:t>інтервʼювання</w:t>
      </w:r>
      <w:proofErr w:type="spellEnd"/>
      <w:r>
        <w:t xml:space="preserve"> посадових осіб проводиться у структурних підрозділах, визначених за результатами віддаленого інформаційного аудиту, та пріоритетів із </w:t>
      </w:r>
      <w:proofErr w:type="spellStart"/>
      <w:r>
        <w:t>цифровізації</w:t>
      </w:r>
      <w:proofErr w:type="spellEnd"/>
      <w:r>
        <w:t xml:space="preserve"> ЛОВА:</w:t>
      </w:r>
    </w:p>
    <w:p w:rsidR="00743505" w:rsidRDefault="00BD3770">
      <w:pPr>
        <w:numPr>
          <w:ilvl w:val="0"/>
          <w:numId w:val="1"/>
        </w:numPr>
        <w:spacing w:after="0"/>
        <w:ind w:right="-7"/>
      </w:pPr>
      <w:r>
        <w:t>Департамент дорожнього господарства;</w:t>
      </w:r>
    </w:p>
    <w:p w:rsidR="00743505" w:rsidRDefault="00BD3770">
      <w:pPr>
        <w:numPr>
          <w:ilvl w:val="0"/>
          <w:numId w:val="1"/>
        </w:numPr>
        <w:spacing w:after="0"/>
        <w:ind w:right="-7"/>
      </w:pPr>
      <w:r>
        <w:t>Департамент з питань культури, національностей та релігій;</w:t>
      </w:r>
    </w:p>
    <w:p w:rsidR="00743505" w:rsidRDefault="00BD3770">
      <w:pPr>
        <w:numPr>
          <w:ilvl w:val="0"/>
          <w:numId w:val="1"/>
        </w:numPr>
        <w:ind w:right="-7"/>
      </w:pPr>
      <w:r>
        <w:t>Служба у справах дітей.</w:t>
      </w:r>
    </w:p>
    <w:p w:rsidR="00743505" w:rsidRDefault="00743505">
      <w:pPr>
        <w:ind w:left="720" w:right="-7"/>
      </w:pPr>
    </w:p>
    <w:p w:rsidR="00743505" w:rsidRDefault="00BD3770">
      <w:pPr>
        <w:ind w:right="-7"/>
      </w:pPr>
      <w:r>
        <w:t xml:space="preserve">Також Розпорядженням начальника ЛОВА </w:t>
      </w:r>
      <w:r>
        <w:rPr>
          <w:highlight w:val="white"/>
        </w:rPr>
        <w:t>№755/0/5-25ВА</w:t>
      </w:r>
      <w:r>
        <w:t xml:space="preserve"> від 27.06.2025 затверджено проведення консультацій із громадськістю у період з 30.06.2025 – 15.07.2025 року. Детальніше про результати проведених консультацій із громадськістю у відповідному розділі.</w:t>
      </w:r>
    </w:p>
    <w:p w:rsidR="00743505" w:rsidRDefault="00BD3770">
      <w:pPr>
        <w:ind w:right="-7"/>
      </w:pPr>
      <w:r>
        <w:t>ЛОВА складається з апарату і 20 структурних підрозділів, всі мають статус юридичної особи.</w:t>
      </w:r>
    </w:p>
    <w:p w:rsidR="00743505" w:rsidRDefault="00BD3770">
      <w:pPr>
        <w:ind w:right="-7"/>
      </w:pPr>
      <w:r>
        <w:rPr>
          <w:noProof/>
          <w:lang w:val="en-US"/>
        </w:rPr>
        <w:lastRenderedPageBreak/>
        <w:drawing>
          <wp:inline distT="114300" distB="114300" distL="114300" distR="114300">
            <wp:extent cx="6120000" cy="3441700"/>
            <wp:effectExtent l="0" t="0" r="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6120000" cy="3441700"/>
                    </a:xfrm>
                    <a:prstGeom prst="rect">
                      <a:avLst/>
                    </a:prstGeom>
                    <a:ln/>
                  </pic:spPr>
                </pic:pic>
              </a:graphicData>
            </a:graphic>
          </wp:inline>
        </w:drawing>
      </w:r>
    </w:p>
    <w:p w:rsidR="00743505" w:rsidRDefault="00BD3770">
      <w:pPr>
        <w:ind w:right="-7"/>
      </w:pPr>
      <w:r>
        <w:t>Львівська ОДА в межах своїх повноважень здійснює виконавчу владу на території відповідної адміністративно-територіальної одиниці (Львівська область), а також реалізує повноваження, делеговані їй відповідною радою. Всього у ЛОВА працюють 563 посадових особи.</w:t>
      </w:r>
    </w:p>
    <w:p w:rsidR="00743505" w:rsidRDefault="00743505"/>
    <w:p w:rsidR="00743505" w:rsidRDefault="00743505">
      <w:pPr>
        <w:shd w:val="clear" w:color="auto" w:fill="FFFFFF"/>
        <w:spacing w:after="360"/>
        <w:jc w:val="left"/>
      </w:pPr>
    </w:p>
    <w:p w:rsidR="00743505" w:rsidRDefault="00743505"/>
    <w:p w:rsidR="00743505" w:rsidRDefault="00743505"/>
    <w:p w:rsidR="00743505" w:rsidRDefault="00743505"/>
    <w:p w:rsidR="00743505" w:rsidRDefault="00743505"/>
    <w:p w:rsidR="00743505" w:rsidRDefault="00743505"/>
    <w:p w:rsidR="00743505" w:rsidRDefault="00743505"/>
    <w:p w:rsidR="00743505" w:rsidRDefault="00743505"/>
    <w:p w:rsidR="00743505" w:rsidRDefault="00743505"/>
    <w:p w:rsidR="00743505" w:rsidRDefault="00743505"/>
    <w:p w:rsidR="00743505" w:rsidRDefault="00743505"/>
    <w:p w:rsidR="00743505" w:rsidRDefault="00743505"/>
    <w:p w:rsidR="00743505" w:rsidRDefault="00BD3770">
      <w:pPr>
        <w:pStyle w:val="2"/>
        <w:widowControl w:val="0"/>
        <w:spacing w:before="240" w:after="240"/>
        <w:ind w:right="-607"/>
        <w:rPr>
          <w:i/>
          <w:color w:val="999999"/>
          <w:sz w:val="24"/>
          <w:szCs w:val="24"/>
        </w:rPr>
      </w:pPr>
      <w:bookmarkStart w:id="11" w:name="_3x82n7xaz4wu" w:colFirst="0" w:colLast="0"/>
      <w:bookmarkEnd w:id="11"/>
      <w:r>
        <w:lastRenderedPageBreak/>
        <w:t>Основна частина</w:t>
      </w:r>
    </w:p>
    <w:p w:rsidR="00743505" w:rsidRDefault="00BD3770">
      <w:pPr>
        <w:pStyle w:val="3"/>
        <w:ind w:right="-607"/>
        <w:rPr>
          <w:color w:val="000000"/>
        </w:rPr>
      </w:pPr>
      <w:bookmarkStart w:id="12" w:name="_3zk1oz523urp" w:colFirst="0" w:colLast="0"/>
      <w:bookmarkEnd w:id="12"/>
      <w:r>
        <w:t>Аналіз стану оприлюднення відкритих даних</w:t>
      </w:r>
    </w:p>
    <w:p w:rsidR="00743505" w:rsidRDefault="00BD3770">
      <w:r>
        <w:t>ЛОВА оприлюднюється публічна інформація на Порталі відкритих даних Львівщини (</w:t>
      </w:r>
      <w:hyperlink r:id="rId9">
        <w:r>
          <w:rPr>
            <w:u w:val="single"/>
          </w:rPr>
          <w:t>https://data.loda.gov.ua</w:t>
        </w:r>
      </w:hyperlink>
      <w:r>
        <w:t xml:space="preserve">). </w:t>
      </w:r>
    </w:p>
    <w:p w:rsidR="00743505" w:rsidRDefault="00BD3770">
      <w:r>
        <w:t xml:space="preserve">Оприлюднюються як набори даних, передбачені переліками Постанови Кабінету Міністрів України №835, так й ініціативні набори, яких більше 400. Частина цих наборів даних використовується для візуалізації соціально-економічних показників на Порталі місцевої статистики Львівщини. Ці набори є структурованими та </w:t>
      </w:r>
      <w:proofErr w:type="spellStart"/>
      <w:r>
        <w:t>машиночитаними</w:t>
      </w:r>
      <w:proofErr w:type="spellEnd"/>
      <w:r>
        <w:t xml:space="preserve">, проте деякі з них агрегованими. </w:t>
      </w:r>
    </w:p>
    <w:tbl>
      <w:tblPr>
        <w:tblStyle w:val="a6"/>
        <w:tblW w:w="1018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800"/>
        <w:gridCol w:w="5385"/>
      </w:tblGrid>
      <w:tr w:rsidR="00743505">
        <w:tc>
          <w:tcPr>
            <w:tcW w:w="4800"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tcPr>
          <w:p w:rsidR="00743505" w:rsidRDefault="00BD3770">
            <w:pPr>
              <w:widowControl w:val="0"/>
              <w:pBdr>
                <w:top w:val="nil"/>
                <w:left w:val="nil"/>
                <w:bottom w:val="nil"/>
                <w:right w:val="nil"/>
                <w:between w:val="nil"/>
              </w:pBdr>
              <w:spacing w:after="0"/>
              <w:ind w:right="-607"/>
              <w:jc w:val="center"/>
              <w:rPr>
                <w:b/>
              </w:rPr>
            </w:pPr>
            <w:r>
              <w:rPr>
                <w:b/>
              </w:rPr>
              <w:t>Назва набору даних</w:t>
            </w:r>
          </w:p>
        </w:tc>
        <w:tc>
          <w:tcPr>
            <w:tcW w:w="5385"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tcPr>
          <w:p w:rsidR="00743505" w:rsidRDefault="00BD3770">
            <w:pPr>
              <w:widowControl w:val="0"/>
              <w:pBdr>
                <w:top w:val="nil"/>
                <w:left w:val="nil"/>
                <w:bottom w:val="nil"/>
                <w:right w:val="nil"/>
                <w:between w:val="nil"/>
              </w:pBdr>
              <w:spacing w:after="0"/>
              <w:ind w:right="-69"/>
              <w:jc w:val="center"/>
              <w:rPr>
                <w:b/>
              </w:rPr>
            </w:pPr>
            <w:r>
              <w:rPr>
                <w:b/>
              </w:rPr>
              <w:t>Опис та характеристика</w:t>
            </w:r>
          </w:p>
        </w:tc>
      </w:tr>
      <w:tr w:rsidR="00743505">
        <w:tc>
          <w:tcPr>
            <w:tcW w:w="4800" w:type="dxa"/>
            <w:tcBorders>
              <w:top w:val="single" w:sz="3" w:space="0" w:color="CCCCCC"/>
              <w:left w:val="single" w:sz="3" w:space="0" w:color="CCCCCC"/>
              <w:bottom w:val="single" w:sz="3" w:space="0" w:color="CCCCCC"/>
              <w:right w:val="single" w:sz="3" w:space="0" w:color="000000"/>
            </w:tcBorders>
            <w:shd w:val="clear" w:color="auto" w:fill="FFFFFF"/>
            <w:tcMar>
              <w:top w:w="40" w:type="dxa"/>
              <w:left w:w="0" w:type="dxa"/>
              <w:bottom w:w="40" w:type="dxa"/>
              <w:right w:w="0" w:type="dxa"/>
            </w:tcMar>
            <w:vAlign w:val="bottom"/>
          </w:tcPr>
          <w:p w:rsidR="00743505" w:rsidRDefault="00BD3770">
            <w:pPr>
              <w:widowControl w:val="0"/>
              <w:spacing w:after="0"/>
              <w:jc w:val="left"/>
              <w:rPr>
                <w:sz w:val="20"/>
                <w:szCs w:val="20"/>
              </w:rPr>
            </w:pPr>
            <w:r>
              <w:rPr>
                <w:sz w:val="20"/>
                <w:szCs w:val="20"/>
              </w:rPr>
              <w:t>Довідник підприємств, установ, організацій та територіальних органів розпорядника інформації та організацій, що належать до сфери його управління, у тому числі їх ідентифікаційних кодів в Єдиному державному реєстрі юридичних осіб, фізичних осіб - підприємців та громадських формувань, офіційних веб-сайтів, адрес електронної пошти, номерів телефонів, місцезнаходження</w:t>
            </w:r>
          </w:p>
        </w:tc>
        <w:tc>
          <w:tcPr>
            <w:tcW w:w="5385"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tcPr>
          <w:p w:rsidR="00743505" w:rsidRDefault="00BD3770">
            <w:pPr>
              <w:widowControl w:val="0"/>
              <w:pBdr>
                <w:top w:val="nil"/>
                <w:left w:val="nil"/>
                <w:bottom w:val="nil"/>
                <w:right w:val="nil"/>
                <w:between w:val="nil"/>
              </w:pBdr>
              <w:spacing w:after="0"/>
              <w:ind w:right="-69"/>
              <w:jc w:val="left"/>
              <w:rPr>
                <w:sz w:val="20"/>
                <w:szCs w:val="20"/>
              </w:rPr>
            </w:pPr>
            <w:r>
              <w:rPr>
                <w:sz w:val="20"/>
                <w:szCs w:val="20"/>
              </w:rPr>
              <w:t xml:space="preserve">Потребує оприлюднення з урахуванням у тому числі останніх рекомендацій Міністерства цифрової трансформації України.  </w:t>
            </w:r>
          </w:p>
        </w:tc>
      </w:tr>
      <w:tr w:rsidR="00743505">
        <w:tc>
          <w:tcPr>
            <w:tcW w:w="4800" w:type="dxa"/>
            <w:tcBorders>
              <w:top w:val="single" w:sz="3" w:space="0" w:color="CCCCCC"/>
              <w:left w:val="single" w:sz="3" w:space="0" w:color="CCCCCC"/>
              <w:bottom w:val="single" w:sz="3" w:space="0" w:color="CCCCCC"/>
              <w:right w:val="single" w:sz="3" w:space="0" w:color="000000"/>
            </w:tcBorders>
            <w:tcMar>
              <w:top w:w="40" w:type="dxa"/>
              <w:left w:w="0" w:type="dxa"/>
              <w:bottom w:w="40" w:type="dxa"/>
              <w:right w:w="0" w:type="dxa"/>
            </w:tcMar>
            <w:vAlign w:val="bottom"/>
          </w:tcPr>
          <w:p w:rsidR="00743505" w:rsidRDefault="00BD3770">
            <w:pPr>
              <w:widowControl w:val="0"/>
              <w:spacing w:after="0"/>
              <w:jc w:val="left"/>
              <w:rPr>
                <w:sz w:val="20"/>
                <w:szCs w:val="20"/>
              </w:rPr>
            </w:pPr>
            <w:r>
              <w:rPr>
                <w:sz w:val="20"/>
                <w:szCs w:val="20"/>
              </w:rPr>
              <w:t>Інформація про структуру (організаційну структуру) розпорядника інформації</w:t>
            </w:r>
          </w:p>
        </w:tc>
        <w:tc>
          <w:tcPr>
            <w:tcW w:w="5385" w:type="dxa"/>
            <w:tcBorders>
              <w:top w:val="single" w:sz="8" w:space="0" w:color="999999"/>
              <w:left w:val="single" w:sz="8" w:space="0" w:color="999999"/>
              <w:bottom w:val="single" w:sz="8" w:space="0" w:color="999999"/>
              <w:right w:val="single" w:sz="8" w:space="0" w:color="999999"/>
            </w:tcBorders>
            <w:tcMar>
              <w:top w:w="100" w:type="dxa"/>
              <w:left w:w="100" w:type="dxa"/>
              <w:bottom w:w="100" w:type="dxa"/>
              <w:right w:w="100" w:type="dxa"/>
            </w:tcMar>
          </w:tcPr>
          <w:p w:rsidR="00743505" w:rsidRDefault="00BD3770">
            <w:pPr>
              <w:widowControl w:val="0"/>
              <w:pBdr>
                <w:top w:val="nil"/>
                <w:left w:val="nil"/>
                <w:bottom w:val="nil"/>
                <w:right w:val="nil"/>
                <w:between w:val="nil"/>
              </w:pBdr>
              <w:spacing w:after="0"/>
              <w:ind w:right="-69"/>
              <w:jc w:val="left"/>
              <w:rPr>
                <w:sz w:val="20"/>
                <w:szCs w:val="20"/>
              </w:rPr>
            </w:pPr>
            <w:r>
              <w:rPr>
                <w:sz w:val="20"/>
                <w:szCs w:val="20"/>
              </w:rPr>
              <w:t>Потребує оприлюднення з урахуванням у тому числі останніх рекомендацій Міністерства цифрової трансформації України.</w:t>
            </w:r>
          </w:p>
        </w:tc>
      </w:tr>
      <w:tr w:rsidR="00743505">
        <w:tc>
          <w:tcPr>
            <w:tcW w:w="4800" w:type="dxa"/>
            <w:tcBorders>
              <w:top w:val="single" w:sz="3" w:space="0" w:color="CCCCCC"/>
              <w:left w:val="single" w:sz="3" w:space="0" w:color="CCCCCC"/>
              <w:bottom w:val="single" w:sz="3" w:space="0" w:color="CCCCCC"/>
              <w:right w:val="single" w:sz="3" w:space="0" w:color="000000"/>
            </w:tcBorders>
            <w:tcMar>
              <w:top w:w="40" w:type="dxa"/>
              <w:left w:w="0" w:type="dxa"/>
              <w:bottom w:w="40" w:type="dxa"/>
              <w:right w:w="0" w:type="dxa"/>
            </w:tcMar>
            <w:vAlign w:val="bottom"/>
          </w:tcPr>
          <w:p w:rsidR="00743505" w:rsidRDefault="00BD3770">
            <w:pPr>
              <w:widowControl w:val="0"/>
              <w:spacing w:after="0"/>
              <w:jc w:val="left"/>
              <w:rPr>
                <w:sz w:val="20"/>
                <w:szCs w:val="20"/>
              </w:rPr>
            </w:pPr>
            <w:r>
              <w:rPr>
                <w:sz w:val="20"/>
                <w:szCs w:val="20"/>
              </w:rPr>
              <w:t>Нормативи, що затверджуються та підлягають оприлюдненню відповідно до закону розпорядником інформації</w:t>
            </w:r>
          </w:p>
        </w:tc>
        <w:tc>
          <w:tcPr>
            <w:tcW w:w="5385"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tcPr>
          <w:p w:rsidR="00743505" w:rsidRDefault="00BD3770">
            <w:pPr>
              <w:widowControl w:val="0"/>
              <w:pBdr>
                <w:top w:val="nil"/>
                <w:left w:val="nil"/>
                <w:bottom w:val="nil"/>
                <w:right w:val="nil"/>
                <w:between w:val="nil"/>
              </w:pBdr>
              <w:spacing w:after="0"/>
              <w:ind w:right="-69"/>
              <w:jc w:val="left"/>
              <w:rPr>
                <w:sz w:val="20"/>
                <w:szCs w:val="20"/>
              </w:rPr>
            </w:pPr>
            <w:r>
              <w:rPr>
                <w:sz w:val="20"/>
                <w:szCs w:val="20"/>
              </w:rPr>
              <w:t>ЛОВА не затверджує нормативи.</w:t>
            </w:r>
          </w:p>
        </w:tc>
      </w:tr>
      <w:tr w:rsidR="00743505">
        <w:tc>
          <w:tcPr>
            <w:tcW w:w="4800" w:type="dxa"/>
            <w:tcBorders>
              <w:top w:val="single" w:sz="3" w:space="0" w:color="CCCCCC"/>
              <w:left w:val="single" w:sz="3" w:space="0" w:color="CCCCCC"/>
              <w:bottom w:val="single" w:sz="3" w:space="0" w:color="CCCCCC"/>
              <w:right w:val="single" w:sz="3" w:space="0" w:color="000000"/>
            </w:tcBorders>
            <w:tcMar>
              <w:top w:w="40" w:type="dxa"/>
              <w:left w:w="0" w:type="dxa"/>
              <w:bottom w:w="40" w:type="dxa"/>
              <w:right w:w="0" w:type="dxa"/>
            </w:tcMar>
            <w:vAlign w:val="bottom"/>
          </w:tcPr>
          <w:p w:rsidR="00743505" w:rsidRDefault="00BD3770">
            <w:pPr>
              <w:widowControl w:val="0"/>
              <w:spacing w:after="0"/>
              <w:jc w:val="left"/>
              <w:rPr>
                <w:sz w:val="20"/>
                <w:szCs w:val="20"/>
              </w:rPr>
            </w:pPr>
            <w:r>
              <w:rPr>
                <w:sz w:val="20"/>
                <w:szCs w:val="20"/>
              </w:rPr>
              <w:t>Переліки національних стандартів для цілей застосування технічних регламентів</w:t>
            </w:r>
          </w:p>
        </w:tc>
        <w:tc>
          <w:tcPr>
            <w:tcW w:w="5385"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tcPr>
          <w:p w:rsidR="00743505" w:rsidRDefault="00BD3770">
            <w:pPr>
              <w:widowControl w:val="0"/>
              <w:pBdr>
                <w:top w:val="nil"/>
                <w:left w:val="nil"/>
                <w:bottom w:val="nil"/>
                <w:right w:val="nil"/>
                <w:between w:val="nil"/>
              </w:pBdr>
              <w:spacing w:after="0"/>
              <w:ind w:right="-69"/>
              <w:jc w:val="left"/>
              <w:rPr>
                <w:sz w:val="20"/>
                <w:szCs w:val="20"/>
              </w:rPr>
            </w:pPr>
            <w:r>
              <w:rPr>
                <w:sz w:val="20"/>
                <w:szCs w:val="20"/>
              </w:rPr>
              <w:t>ЛОВА не затверджує національні стандарти.</w:t>
            </w:r>
          </w:p>
        </w:tc>
      </w:tr>
      <w:tr w:rsidR="00743505">
        <w:tc>
          <w:tcPr>
            <w:tcW w:w="4800" w:type="dxa"/>
            <w:tcBorders>
              <w:top w:val="single" w:sz="3" w:space="0" w:color="CCCCCC"/>
              <w:left w:val="single" w:sz="3" w:space="0" w:color="CCCCCC"/>
              <w:bottom w:val="single" w:sz="3" w:space="0" w:color="CCCCCC"/>
              <w:right w:val="single" w:sz="3" w:space="0" w:color="000000"/>
            </w:tcBorders>
            <w:tcMar>
              <w:top w:w="40" w:type="dxa"/>
              <w:left w:w="0" w:type="dxa"/>
              <w:bottom w:w="40" w:type="dxa"/>
              <w:right w:w="0" w:type="dxa"/>
            </w:tcMar>
            <w:vAlign w:val="bottom"/>
          </w:tcPr>
          <w:p w:rsidR="00743505" w:rsidRDefault="00BD3770">
            <w:pPr>
              <w:widowControl w:val="0"/>
              <w:spacing w:after="0"/>
              <w:jc w:val="left"/>
              <w:rPr>
                <w:sz w:val="20"/>
                <w:szCs w:val="20"/>
              </w:rPr>
            </w:pPr>
            <w:r>
              <w:rPr>
                <w:sz w:val="20"/>
                <w:szCs w:val="20"/>
              </w:rPr>
              <w:t>Звіти, у тому числі щодо задоволення запитів на інформацію</w:t>
            </w:r>
          </w:p>
        </w:tc>
        <w:tc>
          <w:tcPr>
            <w:tcW w:w="5385"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tcPr>
          <w:p w:rsidR="00743505" w:rsidRDefault="00BD3770">
            <w:pPr>
              <w:widowControl w:val="0"/>
              <w:pBdr>
                <w:top w:val="nil"/>
                <w:left w:val="nil"/>
                <w:bottom w:val="nil"/>
                <w:right w:val="nil"/>
                <w:between w:val="nil"/>
              </w:pBdr>
              <w:spacing w:after="0"/>
              <w:ind w:right="-69"/>
              <w:jc w:val="left"/>
              <w:rPr>
                <w:sz w:val="20"/>
                <w:szCs w:val="20"/>
              </w:rPr>
            </w:pPr>
            <w:r>
              <w:rPr>
                <w:sz w:val="20"/>
                <w:szCs w:val="20"/>
              </w:rPr>
              <w:t>Потребує оприлюднення з урахуванням у тому числі останніх рекомендацій Міністерства цифрової трансформації України.</w:t>
            </w:r>
          </w:p>
        </w:tc>
      </w:tr>
      <w:tr w:rsidR="00743505">
        <w:tc>
          <w:tcPr>
            <w:tcW w:w="4800" w:type="dxa"/>
            <w:tcBorders>
              <w:top w:val="single" w:sz="3" w:space="0" w:color="CCCCCC"/>
              <w:left w:val="single" w:sz="3" w:space="0" w:color="CCCCCC"/>
              <w:bottom w:val="single" w:sz="3" w:space="0" w:color="CCCCCC"/>
              <w:right w:val="single" w:sz="3" w:space="0" w:color="000000"/>
            </w:tcBorders>
            <w:tcMar>
              <w:top w:w="40" w:type="dxa"/>
              <w:left w:w="0" w:type="dxa"/>
              <w:bottom w:w="40" w:type="dxa"/>
              <w:right w:w="0" w:type="dxa"/>
            </w:tcMar>
            <w:vAlign w:val="bottom"/>
          </w:tcPr>
          <w:p w:rsidR="00743505" w:rsidRDefault="00BD3770">
            <w:pPr>
              <w:widowControl w:val="0"/>
              <w:spacing w:after="0"/>
              <w:jc w:val="left"/>
              <w:rPr>
                <w:sz w:val="20"/>
                <w:szCs w:val="20"/>
              </w:rPr>
            </w:pPr>
            <w:r>
              <w:rPr>
                <w:sz w:val="20"/>
                <w:szCs w:val="20"/>
              </w:rPr>
              <w:t>Реєстр наборів даних, що перебувають у володінні розпорядника інформації</w:t>
            </w:r>
          </w:p>
        </w:tc>
        <w:tc>
          <w:tcPr>
            <w:tcW w:w="5385"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tcPr>
          <w:p w:rsidR="00743505" w:rsidRDefault="00BD3770">
            <w:pPr>
              <w:widowControl w:val="0"/>
              <w:spacing w:after="0"/>
              <w:ind w:right="-69"/>
              <w:jc w:val="left"/>
              <w:rPr>
                <w:sz w:val="20"/>
                <w:szCs w:val="20"/>
              </w:rPr>
            </w:pPr>
            <w:r>
              <w:rPr>
                <w:sz w:val="20"/>
                <w:szCs w:val="20"/>
              </w:rPr>
              <w:t>Потребує оприлюднення з урахуванням у тому числі останніх рекомендацій Міністерства цифрової трансформації України.</w:t>
            </w:r>
          </w:p>
        </w:tc>
      </w:tr>
      <w:tr w:rsidR="00743505">
        <w:tc>
          <w:tcPr>
            <w:tcW w:w="4800" w:type="dxa"/>
            <w:tcBorders>
              <w:top w:val="single" w:sz="3" w:space="0" w:color="CCCCCC"/>
              <w:left w:val="single" w:sz="3" w:space="0" w:color="CCCCCC"/>
              <w:bottom w:val="single" w:sz="3" w:space="0" w:color="CCCCCC"/>
              <w:right w:val="single" w:sz="3" w:space="0" w:color="000000"/>
            </w:tcBorders>
            <w:tcMar>
              <w:top w:w="40" w:type="dxa"/>
              <w:left w:w="0" w:type="dxa"/>
              <w:bottom w:w="40" w:type="dxa"/>
              <w:right w:w="0" w:type="dxa"/>
            </w:tcMar>
            <w:vAlign w:val="bottom"/>
          </w:tcPr>
          <w:p w:rsidR="00743505" w:rsidRDefault="007358CE">
            <w:pPr>
              <w:widowControl w:val="0"/>
              <w:spacing w:after="0"/>
              <w:jc w:val="left"/>
              <w:rPr>
                <w:sz w:val="20"/>
                <w:szCs w:val="20"/>
              </w:rPr>
            </w:pPr>
            <w:hyperlink r:id="rId10">
              <w:r w:rsidR="00BD3770">
                <w:rPr>
                  <w:sz w:val="20"/>
                  <w:szCs w:val="20"/>
                </w:rPr>
                <w:t>Адміністративні дані в значенні Закону України</w:t>
              </w:r>
            </w:hyperlink>
            <w:r w:rsidR="00BD3770">
              <w:rPr>
                <w:sz w:val="20"/>
                <w:szCs w:val="20"/>
              </w:rPr>
              <w:t xml:space="preserve"> “Про офіційну статистику”, що збираються (обробляються) та підлягають оприлюдненню відповідно до вимог закону розпорядником інформації</w:t>
            </w:r>
          </w:p>
        </w:tc>
        <w:tc>
          <w:tcPr>
            <w:tcW w:w="5385"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tcPr>
          <w:p w:rsidR="00743505" w:rsidRDefault="00BD3770">
            <w:pPr>
              <w:widowControl w:val="0"/>
              <w:spacing w:after="0"/>
              <w:ind w:right="-69"/>
              <w:jc w:val="left"/>
              <w:rPr>
                <w:sz w:val="20"/>
                <w:szCs w:val="20"/>
              </w:rPr>
            </w:pPr>
            <w:r>
              <w:rPr>
                <w:sz w:val="20"/>
                <w:szCs w:val="20"/>
              </w:rPr>
              <w:t>Потребує оприлюднення з урахуванням у тому числі останніх рекомендацій Міністерства цифрової трансформації України.</w:t>
            </w:r>
          </w:p>
        </w:tc>
      </w:tr>
      <w:tr w:rsidR="00743505">
        <w:tc>
          <w:tcPr>
            <w:tcW w:w="4800" w:type="dxa"/>
            <w:tcBorders>
              <w:top w:val="single" w:sz="3" w:space="0" w:color="CCCCCC"/>
              <w:left w:val="single" w:sz="3" w:space="0" w:color="CCCCCC"/>
              <w:bottom w:val="single" w:sz="3" w:space="0" w:color="CCCCCC"/>
              <w:right w:val="single" w:sz="3" w:space="0" w:color="000000"/>
            </w:tcBorders>
            <w:tcMar>
              <w:top w:w="40" w:type="dxa"/>
              <w:left w:w="0" w:type="dxa"/>
              <w:bottom w:w="40" w:type="dxa"/>
              <w:right w:w="0" w:type="dxa"/>
            </w:tcMar>
            <w:vAlign w:val="bottom"/>
          </w:tcPr>
          <w:p w:rsidR="00743505" w:rsidRDefault="00BD3770">
            <w:pPr>
              <w:widowControl w:val="0"/>
              <w:spacing w:after="0"/>
              <w:jc w:val="left"/>
              <w:rPr>
                <w:sz w:val="20"/>
                <w:szCs w:val="20"/>
              </w:rPr>
            </w:pPr>
            <w:r>
              <w:rPr>
                <w:sz w:val="20"/>
                <w:szCs w:val="20"/>
              </w:rPr>
              <w:t xml:space="preserve">Переліки нормативно-правових актів, актів індивідуальної дії (крім </w:t>
            </w:r>
            <w:proofErr w:type="spellStart"/>
            <w:r>
              <w:rPr>
                <w:sz w:val="20"/>
                <w:szCs w:val="20"/>
              </w:rPr>
              <w:t>внутрішньоорганізаційних</w:t>
            </w:r>
            <w:proofErr w:type="spellEnd"/>
            <w:r>
              <w:rPr>
                <w:sz w:val="20"/>
                <w:szCs w:val="20"/>
              </w:rPr>
              <w:t>), прийнятих розпорядником інформації, проекти нормативно-правових актів</w:t>
            </w:r>
          </w:p>
        </w:tc>
        <w:tc>
          <w:tcPr>
            <w:tcW w:w="5385"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tcPr>
          <w:p w:rsidR="00743505" w:rsidRDefault="00BD3770">
            <w:pPr>
              <w:widowControl w:val="0"/>
              <w:pBdr>
                <w:top w:val="nil"/>
                <w:left w:val="nil"/>
                <w:bottom w:val="nil"/>
                <w:right w:val="nil"/>
                <w:between w:val="nil"/>
              </w:pBdr>
              <w:spacing w:after="0"/>
              <w:ind w:right="-69"/>
              <w:jc w:val="left"/>
              <w:rPr>
                <w:sz w:val="20"/>
                <w:szCs w:val="20"/>
              </w:rPr>
            </w:pPr>
            <w:r>
              <w:rPr>
                <w:sz w:val="20"/>
                <w:szCs w:val="20"/>
              </w:rPr>
              <w:t xml:space="preserve">Потребує оприлюднення з урахуванням у тому числі останніх рекомендацій Міністерства цифрової трансформації України. </w:t>
            </w:r>
          </w:p>
        </w:tc>
      </w:tr>
      <w:tr w:rsidR="00743505">
        <w:tc>
          <w:tcPr>
            <w:tcW w:w="4800" w:type="dxa"/>
            <w:tcBorders>
              <w:top w:val="single" w:sz="3" w:space="0" w:color="CCCCCC"/>
              <w:left w:val="single" w:sz="3" w:space="0" w:color="CCCCCC"/>
              <w:bottom w:val="single" w:sz="3" w:space="0" w:color="CCCCCC"/>
              <w:right w:val="single" w:sz="3" w:space="0" w:color="000000"/>
            </w:tcBorders>
            <w:tcMar>
              <w:top w:w="40" w:type="dxa"/>
              <w:left w:w="0" w:type="dxa"/>
              <w:bottom w:w="40" w:type="dxa"/>
              <w:right w:w="0" w:type="dxa"/>
            </w:tcMar>
            <w:vAlign w:val="bottom"/>
          </w:tcPr>
          <w:p w:rsidR="00743505" w:rsidRDefault="00BD3770">
            <w:pPr>
              <w:widowControl w:val="0"/>
              <w:spacing w:after="0"/>
              <w:jc w:val="left"/>
              <w:rPr>
                <w:sz w:val="20"/>
                <w:szCs w:val="20"/>
              </w:rPr>
            </w:pPr>
            <w:r>
              <w:rPr>
                <w:sz w:val="20"/>
                <w:szCs w:val="20"/>
              </w:rPr>
              <w:lastRenderedPageBreak/>
              <w:t>Переліки регуляторних актів із зазначенням дати набрання чинності, строку проведення базового, повторного та періодичного відстеження їх результативності та інформації про джерело їх оприлюднення</w:t>
            </w:r>
          </w:p>
        </w:tc>
        <w:tc>
          <w:tcPr>
            <w:tcW w:w="5385"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tcPr>
          <w:p w:rsidR="00743505" w:rsidRDefault="00BD3770">
            <w:pPr>
              <w:widowControl w:val="0"/>
              <w:pBdr>
                <w:top w:val="nil"/>
                <w:left w:val="nil"/>
                <w:bottom w:val="nil"/>
                <w:right w:val="nil"/>
                <w:between w:val="nil"/>
              </w:pBdr>
              <w:spacing w:after="0"/>
              <w:ind w:right="-69"/>
              <w:jc w:val="left"/>
              <w:rPr>
                <w:sz w:val="20"/>
                <w:szCs w:val="20"/>
              </w:rPr>
            </w:pPr>
            <w:r>
              <w:rPr>
                <w:sz w:val="20"/>
                <w:szCs w:val="20"/>
              </w:rPr>
              <w:t>Потребує оприлюднення з урахуванням у тому числі останніх рекомендацій Міністерства цифрової трансформації України.</w:t>
            </w:r>
          </w:p>
        </w:tc>
      </w:tr>
      <w:tr w:rsidR="00743505">
        <w:tc>
          <w:tcPr>
            <w:tcW w:w="4800" w:type="dxa"/>
            <w:tcBorders>
              <w:top w:val="single" w:sz="3" w:space="0" w:color="CCCCCC"/>
              <w:left w:val="single" w:sz="3" w:space="0" w:color="CCCCCC"/>
              <w:bottom w:val="single" w:sz="3" w:space="0" w:color="CCCCCC"/>
              <w:right w:val="single" w:sz="3" w:space="0" w:color="000000"/>
            </w:tcBorders>
            <w:tcMar>
              <w:top w:w="40" w:type="dxa"/>
              <w:left w:w="0" w:type="dxa"/>
              <w:bottom w:w="40" w:type="dxa"/>
              <w:right w:w="0" w:type="dxa"/>
            </w:tcMar>
            <w:vAlign w:val="bottom"/>
          </w:tcPr>
          <w:p w:rsidR="00743505" w:rsidRDefault="00BD3770">
            <w:pPr>
              <w:widowControl w:val="0"/>
              <w:spacing w:after="0"/>
              <w:jc w:val="left"/>
              <w:rPr>
                <w:sz w:val="20"/>
                <w:szCs w:val="20"/>
              </w:rPr>
            </w:pPr>
            <w:r>
              <w:rPr>
                <w:sz w:val="20"/>
                <w:szCs w:val="20"/>
              </w:rPr>
              <w:t>План діяльності з підготовки проектів регуляторних актів із зазначенням видів і назв проектів, цілей їх прийняття, строків підготовки проектів, найменування органів і підрозділів, відповідальних за розроблення проектів, дати їх внесення на розгляд регуляторного органу та посилання на джерело оприлюднення</w:t>
            </w:r>
          </w:p>
        </w:tc>
        <w:tc>
          <w:tcPr>
            <w:tcW w:w="5385"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tcPr>
          <w:p w:rsidR="00743505" w:rsidRDefault="00BD3770">
            <w:pPr>
              <w:widowControl w:val="0"/>
              <w:spacing w:after="0"/>
              <w:ind w:right="-69"/>
              <w:jc w:val="left"/>
              <w:rPr>
                <w:sz w:val="20"/>
                <w:szCs w:val="20"/>
              </w:rPr>
            </w:pPr>
            <w:r>
              <w:rPr>
                <w:sz w:val="20"/>
                <w:szCs w:val="20"/>
              </w:rPr>
              <w:t>Потребує оприлюднення з урахуванням у тому числі останніх рекомендацій Міністерства цифрової трансформації України.</w:t>
            </w:r>
          </w:p>
        </w:tc>
      </w:tr>
      <w:tr w:rsidR="00743505">
        <w:tc>
          <w:tcPr>
            <w:tcW w:w="4800" w:type="dxa"/>
            <w:tcBorders>
              <w:top w:val="single" w:sz="3" w:space="0" w:color="CCCCCC"/>
              <w:left w:val="single" w:sz="3" w:space="0" w:color="CCCCCC"/>
              <w:bottom w:val="single" w:sz="3" w:space="0" w:color="CCCCCC"/>
              <w:right w:val="single" w:sz="3" w:space="0" w:color="000000"/>
            </w:tcBorders>
            <w:tcMar>
              <w:top w:w="40" w:type="dxa"/>
              <w:left w:w="0" w:type="dxa"/>
              <w:bottom w:w="40" w:type="dxa"/>
              <w:right w:w="0" w:type="dxa"/>
            </w:tcMar>
            <w:vAlign w:val="bottom"/>
          </w:tcPr>
          <w:p w:rsidR="00743505" w:rsidRDefault="00BD3770">
            <w:pPr>
              <w:widowControl w:val="0"/>
              <w:spacing w:after="0"/>
              <w:jc w:val="left"/>
              <w:rPr>
                <w:sz w:val="20"/>
                <w:szCs w:val="20"/>
              </w:rPr>
            </w:pPr>
            <w:r>
              <w:rPr>
                <w:sz w:val="20"/>
                <w:szCs w:val="20"/>
              </w:rPr>
              <w:t>Інформація про нормативно-правові засади діяльності розпорядника інформації</w:t>
            </w:r>
          </w:p>
        </w:tc>
        <w:tc>
          <w:tcPr>
            <w:tcW w:w="5385"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tcPr>
          <w:p w:rsidR="00743505" w:rsidRDefault="00BD3770">
            <w:pPr>
              <w:widowControl w:val="0"/>
              <w:spacing w:after="0"/>
              <w:ind w:right="-69"/>
              <w:jc w:val="left"/>
              <w:rPr>
                <w:sz w:val="20"/>
                <w:szCs w:val="20"/>
              </w:rPr>
            </w:pPr>
            <w:r>
              <w:rPr>
                <w:sz w:val="20"/>
                <w:szCs w:val="20"/>
              </w:rPr>
              <w:t>Потребує оприлюднення з урахуванням у тому числі останніх рекомендацій Міністерства цифрової трансформації України.</w:t>
            </w:r>
          </w:p>
        </w:tc>
      </w:tr>
      <w:tr w:rsidR="00743505">
        <w:tc>
          <w:tcPr>
            <w:tcW w:w="4800" w:type="dxa"/>
            <w:tcBorders>
              <w:top w:val="single" w:sz="3" w:space="0" w:color="CCCCCC"/>
              <w:left w:val="single" w:sz="3" w:space="0" w:color="CCCCCC"/>
              <w:bottom w:val="single" w:sz="3" w:space="0" w:color="CCCCCC"/>
              <w:right w:val="single" w:sz="3" w:space="0" w:color="000000"/>
            </w:tcBorders>
            <w:tcMar>
              <w:top w:w="40" w:type="dxa"/>
              <w:left w:w="0" w:type="dxa"/>
              <w:bottom w:w="40" w:type="dxa"/>
              <w:right w:w="0" w:type="dxa"/>
            </w:tcMar>
            <w:vAlign w:val="bottom"/>
          </w:tcPr>
          <w:p w:rsidR="00743505" w:rsidRDefault="00BD3770">
            <w:pPr>
              <w:widowControl w:val="0"/>
              <w:spacing w:after="0"/>
              <w:jc w:val="left"/>
              <w:rPr>
                <w:sz w:val="20"/>
                <w:szCs w:val="20"/>
              </w:rPr>
            </w:pPr>
            <w:r>
              <w:rPr>
                <w:sz w:val="20"/>
                <w:szCs w:val="20"/>
              </w:rPr>
              <w:t>Фінансова звітність суб’єктів господарювання державного та комунального сектору економіки</w:t>
            </w:r>
          </w:p>
        </w:tc>
        <w:tc>
          <w:tcPr>
            <w:tcW w:w="5385" w:type="dxa"/>
            <w:tcBorders>
              <w:top w:val="single" w:sz="8" w:space="0" w:color="999999"/>
              <w:left w:val="single" w:sz="8" w:space="0" w:color="999999"/>
              <w:bottom w:val="single" w:sz="8" w:space="0" w:color="999999"/>
              <w:right w:val="single" w:sz="8" w:space="0" w:color="999999"/>
            </w:tcBorders>
            <w:tcMar>
              <w:top w:w="100" w:type="dxa"/>
              <w:left w:w="100" w:type="dxa"/>
              <w:bottom w:w="100" w:type="dxa"/>
              <w:right w:w="100" w:type="dxa"/>
            </w:tcMar>
          </w:tcPr>
          <w:p w:rsidR="00743505" w:rsidRDefault="00BD3770">
            <w:pPr>
              <w:widowControl w:val="0"/>
              <w:spacing w:after="0"/>
              <w:ind w:right="-69"/>
              <w:jc w:val="left"/>
              <w:rPr>
                <w:sz w:val="20"/>
                <w:szCs w:val="20"/>
              </w:rPr>
            </w:pPr>
            <w:r>
              <w:rPr>
                <w:sz w:val="20"/>
                <w:szCs w:val="20"/>
              </w:rPr>
              <w:t>Потребує оприлюднення з урахуванням у тому числі останніх рекомендацій Міністерства цифрової трансформації України.</w:t>
            </w:r>
          </w:p>
        </w:tc>
      </w:tr>
      <w:tr w:rsidR="00743505">
        <w:tc>
          <w:tcPr>
            <w:tcW w:w="4800" w:type="dxa"/>
            <w:tcBorders>
              <w:top w:val="single" w:sz="3" w:space="0" w:color="CCCCCC"/>
              <w:left w:val="single" w:sz="3" w:space="0" w:color="CCCCCC"/>
              <w:bottom w:val="single" w:sz="3" w:space="0" w:color="CCCCCC"/>
              <w:right w:val="single" w:sz="3" w:space="0" w:color="000000"/>
            </w:tcBorders>
            <w:tcMar>
              <w:top w:w="40" w:type="dxa"/>
              <w:left w:w="0" w:type="dxa"/>
              <w:bottom w:w="40" w:type="dxa"/>
              <w:right w:w="0" w:type="dxa"/>
            </w:tcMar>
            <w:vAlign w:val="bottom"/>
          </w:tcPr>
          <w:p w:rsidR="00743505" w:rsidRDefault="00BD3770">
            <w:pPr>
              <w:widowControl w:val="0"/>
              <w:spacing w:after="0"/>
              <w:jc w:val="left"/>
              <w:rPr>
                <w:sz w:val="20"/>
                <w:szCs w:val="20"/>
              </w:rPr>
            </w:pPr>
            <w:r>
              <w:rPr>
                <w:sz w:val="20"/>
                <w:szCs w:val="20"/>
              </w:rPr>
              <w:t>Річні зведені основні фінансові показники виконання фінансових планів підприємств державного та комунального сектору економіки</w:t>
            </w:r>
          </w:p>
        </w:tc>
        <w:tc>
          <w:tcPr>
            <w:tcW w:w="5385" w:type="dxa"/>
            <w:tcBorders>
              <w:top w:val="single" w:sz="8" w:space="0" w:color="999999"/>
              <w:left w:val="single" w:sz="8" w:space="0" w:color="999999"/>
              <w:bottom w:val="single" w:sz="8" w:space="0" w:color="999999"/>
              <w:right w:val="single" w:sz="8" w:space="0" w:color="999999"/>
            </w:tcBorders>
            <w:tcMar>
              <w:top w:w="100" w:type="dxa"/>
              <w:left w:w="100" w:type="dxa"/>
              <w:bottom w:w="100" w:type="dxa"/>
              <w:right w:w="100" w:type="dxa"/>
            </w:tcMar>
          </w:tcPr>
          <w:p w:rsidR="00743505" w:rsidRDefault="00BD3770">
            <w:pPr>
              <w:widowControl w:val="0"/>
              <w:spacing w:after="0"/>
              <w:ind w:right="-69"/>
              <w:jc w:val="left"/>
              <w:rPr>
                <w:sz w:val="20"/>
                <w:szCs w:val="20"/>
              </w:rPr>
            </w:pPr>
            <w:r>
              <w:rPr>
                <w:sz w:val="20"/>
                <w:szCs w:val="20"/>
              </w:rPr>
              <w:t>Потребує оприлюднення з урахуванням у тому числі останніх рекомендацій Міністерства цифрової трансформації України.</w:t>
            </w:r>
          </w:p>
          <w:p w:rsidR="00743505" w:rsidRDefault="00743505">
            <w:pPr>
              <w:widowControl w:val="0"/>
              <w:spacing w:after="0"/>
              <w:ind w:right="-69"/>
              <w:jc w:val="left"/>
              <w:rPr>
                <w:sz w:val="20"/>
                <w:szCs w:val="20"/>
              </w:rPr>
            </w:pPr>
          </w:p>
        </w:tc>
      </w:tr>
      <w:tr w:rsidR="00743505">
        <w:tc>
          <w:tcPr>
            <w:tcW w:w="4800" w:type="dxa"/>
            <w:tcBorders>
              <w:top w:val="single" w:sz="3" w:space="0" w:color="CCCCCC"/>
              <w:left w:val="single" w:sz="3" w:space="0" w:color="CCCCCC"/>
              <w:bottom w:val="single" w:sz="3" w:space="0" w:color="CCCCCC"/>
              <w:right w:val="single" w:sz="3" w:space="0" w:color="000000"/>
            </w:tcBorders>
            <w:tcMar>
              <w:top w:w="40" w:type="dxa"/>
              <w:left w:w="0" w:type="dxa"/>
              <w:bottom w:w="40" w:type="dxa"/>
              <w:right w:w="0" w:type="dxa"/>
            </w:tcMar>
            <w:vAlign w:val="bottom"/>
          </w:tcPr>
          <w:p w:rsidR="00743505" w:rsidRDefault="00BD3770">
            <w:pPr>
              <w:widowControl w:val="0"/>
              <w:spacing w:after="0"/>
              <w:jc w:val="left"/>
              <w:rPr>
                <w:sz w:val="20"/>
                <w:szCs w:val="20"/>
              </w:rPr>
            </w:pPr>
            <w:r>
              <w:rPr>
                <w:sz w:val="20"/>
                <w:szCs w:val="20"/>
              </w:rPr>
              <w:t>Інформація про отримане майно (обладнання, програмне забезпечення) у рамках міжнародної технічної допомоги</w:t>
            </w:r>
          </w:p>
        </w:tc>
        <w:tc>
          <w:tcPr>
            <w:tcW w:w="5385" w:type="dxa"/>
            <w:tcBorders>
              <w:top w:val="single" w:sz="8" w:space="0" w:color="999999"/>
              <w:left w:val="single" w:sz="8" w:space="0" w:color="999999"/>
              <w:bottom w:val="single" w:sz="8" w:space="0" w:color="999999"/>
              <w:right w:val="single" w:sz="8" w:space="0" w:color="999999"/>
            </w:tcBorders>
            <w:tcMar>
              <w:top w:w="100" w:type="dxa"/>
              <w:left w:w="100" w:type="dxa"/>
              <w:bottom w:w="100" w:type="dxa"/>
              <w:right w:w="100" w:type="dxa"/>
            </w:tcMar>
          </w:tcPr>
          <w:p w:rsidR="00743505" w:rsidRDefault="00BD3770">
            <w:pPr>
              <w:widowControl w:val="0"/>
              <w:spacing w:after="0"/>
              <w:ind w:right="-69"/>
              <w:jc w:val="left"/>
              <w:rPr>
                <w:sz w:val="20"/>
                <w:szCs w:val="20"/>
              </w:rPr>
            </w:pPr>
            <w:r>
              <w:rPr>
                <w:sz w:val="20"/>
                <w:szCs w:val="20"/>
              </w:rPr>
              <w:t>Потребує оприлюднення з урахуванням у тому числі останніх рекомендацій Міністерства цифрової трансформації України.</w:t>
            </w:r>
          </w:p>
        </w:tc>
      </w:tr>
      <w:tr w:rsidR="00743505">
        <w:tc>
          <w:tcPr>
            <w:tcW w:w="4800" w:type="dxa"/>
            <w:tcBorders>
              <w:top w:val="single" w:sz="3" w:space="0" w:color="CCCCCC"/>
              <w:left w:val="single" w:sz="3" w:space="0" w:color="CCCCCC"/>
              <w:bottom w:val="single" w:sz="3" w:space="0" w:color="CCCCCC"/>
              <w:right w:val="single" w:sz="3" w:space="0" w:color="000000"/>
            </w:tcBorders>
            <w:tcMar>
              <w:top w:w="40" w:type="dxa"/>
              <w:left w:w="0" w:type="dxa"/>
              <w:bottom w:w="40" w:type="dxa"/>
              <w:right w:w="0" w:type="dxa"/>
            </w:tcMar>
            <w:vAlign w:val="bottom"/>
          </w:tcPr>
          <w:p w:rsidR="00743505" w:rsidRDefault="00BD3770">
            <w:pPr>
              <w:widowControl w:val="0"/>
              <w:spacing w:after="0"/>
              <w:jc w:val="left"/>
              <w:rPr>
                <w:sz w:val="20"/>
                <w:szCs w:val="20"/>
              </w:rPr>
            </w:pPr>
            <w:r>
              <w:rPr>
                <w:sz w:val="20"/>
                <w:szCs w:val="20"/>
              </w:rPr>
              <w:t>Інформація із системи обліку публічної інформації</w:t>
            </w:r>
          </w:p>
        </w:tc>
        <w:tc>
          <w:tcPr>
            <w:tcW w:w="5385" w:type="dxa"/>
            <w:tcBorders>
              <w:top w:val="single" w:sz="8" w:space="0" w:color="999999"/>
              <w:left w:val="single" w:sz="8" w:space="0" w:color="999999"/>
              <w:bottom w:val="single" w:sz="8" w:space="0" w:color="999999"/>
              <w:right w:val="single" w:sz="8" w:space="0" w:color="999999"/>
            </w:tcBorders>
            <w:tcMar>
              <w:top w:w="100" w:type="dxa"/>
              <w:left w:w="100" w:type="dxa"/>
              <w:bottom w:w="100" w:type="dxa"/>
              <w:right w:w="100" w:type="dxa"/>
            </w:tcMar>
          </w:tcPr>
          <w:p w:rsidR="00743505" w:rsidRDefault="00BD3770">
            <w:pPr>
              <w:widowControl w:val="0"/>
              <w:spacing w:after="0"/>
              <w:ind w:right="-69"/>
              <w:jc w:val="left"/>
              <w:rPr>
                <w:sz w:val="20"/>
                <w:szCs w:val="20"/>
              </w:rPr>
            </w:pPr>
            <w:r>
              <w:rPr>
                <w:sz w:val="20"/>
                <w:szCs w:val="20"/>
              </w:rPr>
              <w:t>Потребує оприлюднення з урахуванням у тому числі останніх рекомендацій Міністерства цифрової трансформації України.</w:t>
            </w:r>
          </w:p>
        </w:tc>
      </w:tr>
      <w:tr w:rsidR="00743505">
        <w:tc>
          <w:tcPr>
            <w:tcW w:w="4800" w:type="dxa"/>
            <w:tcBorders>
              <w:top w:val="single" w:sz="3" w:space="0" w:color="CCCCCC"/>
              <w:left w:val="single" w:sz="3" w:space="0" w:color="CCCCCC"/>
              <w:bottom w:val="single" w:sz="3" w:space="0" w:color="CCCCCC"/>
              <w:right w:val="single" w:sz="3" w:space="0" w:color="000000"/>
            </w:tcBorders>
            <w:tcMar>
              <w:top w:w="40" w:type="dxa"/>
              <w:left w:w="0" w:type="dxa"/>
              <w:bottom w:w="40" w:type="dxa"/>
              <w:right w:w="0" w:type="dxa"/>
            </w:tcMar>
            <w:vAlign w:val="bottom"/>
          </w:tcPr>
          <w:p w:rsidR="00743505" w:rsidRDefault="00BD3770">
            <w:pPr>
              <w:widowControl w:val="0"/>
              <w:spacing w:after="0"/>
              <w:jc w:val="left"/>
              <w:rPr>
                <w:sz w:val="20"/>
                <w:szCs w:val="20"/>
              </w:rPr>
            </w:pPr>
            <w:r>
              <w:rPr>
                <w:sz w:val="20"/>
                <w:szCs w:val="20"/>
              </w:rPr>
              <w:t>Результати інформаційного аудиту</w:t>
            </w:r>
          </w:p>
        </w:tc>
        <w:tc>
          <w:tcPr>
            <w:tcW w:w="5385"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tcPr>
          <w:p w:rsidR="00743505" w:rsidRDefault="00BD3770">
            <w:pPr>
              <w:widowControl w:val="0"/>
              <w:spacing w:after="0"/>
              <w:ind w:right="-69"/>
              <w:jc w:val="left"/>
              <w:rPr>
                <w:sz w:val="20"/>
                <w:szCs w:val="20"/>
              </w:rPr>
            </w:pPr>
            <w:r>
              <w:rPr>
                <w:sz w:val="20"/>
                <w:szCs w:val="20"/>
              </w:rPr>
              <w:t>Оприлюднено</w:t>
            </w:r>
          </w:p>
        </w:tc>
      </w:tr>
      <w:tr w:rsidR="00743505">
        <w:tc>
          <w:tcPr>
            <w:tcW w:w="4800" w:type="dxa"/>
            <w:tcBorders>
              <w:top w:val="single" w:sz="3" w:space="0" w:color="CCCCCC"/>
              <w:left w:val="single" w:sz="3" w:space="0" w:color="CCCCCC"/>
              <w:bottom w:val="single" w:sz="3" w:space="0" w:color="CCCCCC"/>
              <w:right w:val="single" w:sz="3" w:space="0" w:color="000000"/>
            </w:tcBorders>
            <w:shd w:val="clear" w:color="auto" w:fill="FFFFFF"/>
            <w:tcMar>
              <w:top w:w="40" w:type="dxa"/>
              <w:left w:w="0" w:type="dxa"/>
              <w:bottom w:w="40" w:type="dxa"/>
              <w:right w:w="0" w:type="dxa"/>
            </w:tcMar>
            <w:vAlign w:val="bottom"/>
          </w:tcPr>
          <w:p w:rsidR="00743505" w:rsidRDefault="00BD3770">
            <w:pPr>
              <w:widowControl w:val="0"/>
              <w:spacing w:after="0"/>
              <w:jc w:val="left"/>
              <w:rPr>
                <w:sz w:val="20"/>
                <w:szCs w:val="20"/>
              </w:rPr>
            </w:pPr>
            <w:r>
              <w:rPr>
                <w:sz w:val="20"/>
                <w:szCs w:val="20"/>
              </w:rPr>
              <w:t>Перелік дозволів на викиди забруднюючих речовин в атмосферне повітря стаціонарними джерелами об’єктів 2 і 3 груп із зазначенням номера та строку дії (для облдержадміністрацій)</w:t>
            </w:r>
          </w:p>
        </w:tc>
        <w:tc>
          <w:tcPr>
            <w:tcW w:w="5385"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tcPr>
          <w:p w:rsidR="00743505" w:rsidRDefault="00BD3770">
            <w:pPr>
              <w:widowControl w:val="0"/>
              <w:spacing w:after="0"/>
              <w:ind w:right="-69"/>
              <w:jc w:val="left"/>
              <w:rPr>
                <w:sz w:val="20"/>
                <w:szCs w:val="20"/>
              </w:rPr>
            </w:pPr>
            <w:r>
              <w:rPr>
                <w:sz w:val="20"/>
                <w:szCs w:val="20"/>
              </w:rPr>
              <w:t>Потребує оприлюднення з урахуванням у тому числі останніх рекомендацій Міністерства цифрової трансформації України.</w:t>
            </w:r>
          </w:p>
        </w:tc>
      </w:tr>
      <w:tr w:rsidR="00743505">
        <w:tc>
          <w:tcPr>
            <w:tcW w:w="4800" w:type="dxa"/>
            <w:tcBorders>
              <w:top w:val="single" w:sz="3" w:space="0" w:color="CCCCCC"/>
              <w:left w:val="single" w:sz="3" w:space="0" w:color="CCCCCC"/>
              <w:bottom w:val="single" w:sz="3" w:space="0" w:color="CCCCCC"/>
              <w:right w:val="single" w:sz="3" w:space="0" w:color="000000"/>
            </w:tcBorders>
            <w:tcMar>
              <w:top w:w="40" w:type="dxa"/>
              <w:left w:w="0" w:type="dxa"/>
              <w:bottom w:w="40" w:type="dxa"/>
              <w:right w:w="0" w:type="dxa"/>
            </w:tcMar>
            <w:vAlign w:val="bottom"/>
          </w:tcPr>
          <w:p w:rsidR="00743505" w:rsidRDefault="00BD3770">
            <w:pPr>
              <w:widowControl w:val="0"/>
              <w:spacing w:after="0"/>
              <w:jc w:val="left"/>
              <w:rPr>
                <w:sz w:val="20"/>
                <w:szCs w:val="20"/>
              </w:rPr>
            </w:pPr>
            <w:r>
              <w:rPr>
                <w:sz w:val="20"/>
                <w:szCs w:val="20"/>
              </w:rPr>
              <w:t>Схеми планування територій областей (для облдержадміністрацій)</w:t>
            </w:r>
          </w:p>
        </w:tc>
        <w:tc>
          <w:tcPr>
            <w:tcW w:w="5385"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tcPr>
          <w:p w:rsidR="00743505" w:rsidRDefault="00BD3770">
            <w:pPr>
              <w:widowControl w:val="0"/>
              <w:pBdr>
                <w:top w:val="nil"/>
                <w:left w:val="nil"/>
                <w:bottom w:val="nil"/>
                <w:right w:val="nil"/>
                <w:between w:val="nil"/>
              </w:pBdr>
              <w:spacing w:after="0"/>
              <w:ind w:right="-69"/>
              <w:jc w:val="left"/>
              <w:rPr>
                <w:sz w:val="20"/>
                <w:szCs w:val="20"/>
              </w:rPr>
            </w:pPr>
            <w:r>
              <w:rPr>
                <w:sz w:val="20"/>
                <w:szCs w:val="20"/>
              </w:rPr>
              <w:t>Набір даних не оприлюднюється на час дії воєнного стану відповідно до рекомендацій Міністерства цифрової трансформації України</w:t>
            </w:r>
          </w:p>
        </w:tc>
      </w:tr>
      <w:tr w:rsidR="00743505">
        <w:trPr>
          <w:trHeight w:val="646"/>
        </w:trPr>
        <w:tc>
          <w:tcPr>
            <w:tcW w:w="4800" w:type="dxa"/>
            <w:tcBorders>
              <w:top w:val="single" w:sz="3" w:space="0" w:color="CCCCCC"/>
              <w:left w:val="single" w:sz="3" w:space="0" w:color="CCCCCC"/>
              <w:bottom w:val="single" w:sz="3" w:space="0" w:color="CCCCCC"/>
              <w:right w:val="single" w:sz="3" w:space="0" w:color="000000"/>
            </w:tcBorders>
            <w:tcMar>
              <w:top w:w="40" w:type="dxa"/>
              <w:left w:w="0" w:type="dxa"/>
              <w:bottom w:w="40" w:type="dxa"/>
              <w:right w:w="0" w:type="dxa"/>
            </w:tcMar>
            <w:vAlign w:val="bottom"/>
          </w:tcPr>
          <w:p w:rsidR="00743505" w:rsidRDefault="00BD3770">
            <w:pPr>
              <w:widowControl w:val="0"/>
              <w:spacing w:after="0"/>
              <w:jc w:val="left"/>
              <w:rPr>
                <w:sz w:val="20"/>
                <w:szCs w:val="20"/>
              </w:rPr>
            </w:pPr>
            <w:r>
              <w:rPr>
                <w:sz w:val="20"/>
                <w:szCs w:val="20"/>
              </w:rPr>
              <w:t>Інформація про розподілення та використання медичних імунобіологічних препаратів</w:t>
            </w:r>
          </w:p>
        </w:tc>
        <w:tc>
          <w:tcPr>
            <w:tcW w:w="5385"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tcPr>
          <w:p w:rsidR="00743505" w:rsidRDefault="00BD3770">
            <w:pPr>
              <w:widowControl w:val="0"/>
              <w:pBdr>
                <w:top w:val="nil"/>
                <w:left w:val="nil"/>
                <w:bottom w:val="nil"/>
                <w:right w:val="nil"/>
                <w:between w:val="nil"/>
              </w:pBdr>
              <w:spacing w:after="0"/>
              <w:ind w:right="-69"/>
              <w:jc w:val="left"/>
              <w:rPr>
                <w:sz w:val="20"/>
                <w:szCs w:val="20"/>
              </w:rPr>
            </w:pPr>
            <w:r>
              <w:rPr>
                <w:sz w:val="20"/>
                <w:szCs w:val="20"/>
              </w:rPr>
              <w:t>Обласні державні (військові) адміністрації позбавлені повноважень</w:t>
            </w:r>
          </w:p>
        </w:tc>
      </w:tr>
      <w:tr w:rsidR="00743505">
        <w:tc>
          <w:tcPr>
            <w:tcW w:w="4800" w:type="dxa"/>
            <w:tcBorders>
              <w:top w:val="single" w:sz="3" w:space="0" w:color="CCCCCC"/>
              <w:left w:val="single" w:sz="3" w:space="0" w:color="CCCCCC"/>
              <w:bottom w:val="single" w:sz="3" w:space="0" w:color="CCCCCC"/>
              <w:right w:val="single" w:sz="3" w:space="0" w:color="000000"/>
            </w:tcBorders>
            <w:tcMar>
              <w:top w:w="40" w:type="dxa"/>
              <w:left w:w="0" w:type="dxa"/>
              <w:bottom w:w="40" w:type="dxa"/>
              <w:right w:w="0" w:type="dxa"/>
            </w:tcMar>
            <w:vAlign w:val="bottom"/>
          </w:tcPr>
          <w:p w:rsidR="00743505" w:rsidRDefault="00BD3770">
            <w:pPr>
              <w:widowControl w:val="0"/>
              <w:spacing w:after="0"/>
              <w:jc w:val="left"/>
              <w:rPr>
                <w:sz w:val="20"/>
                <w:szCs w:val="20"/>
              </w:rPr>
            </w:pPr>
            <w:r>
              <w:rPr>
                <w:sz w:val="20"/>
                <w:szCs w:val="20"/>
              </w:rPr>
              <w:t xml:space="preserve">Дані щодо об’єктів будівництва, реконструкції та ремонту автомобільних доріг загального користування місцевого значення відповідно до стандарту OC4IDS - </w:t>
            </w:r>
            <w:proofErr w:type="spellStart"/>
            <w:r>
              <w:rPr>
                <w:sz w:val="20"/>
                <w:szCs w:val="20"/>
              </w:rPr>
              <w:t>Open</w:t>
            </w:r>
            <w:proofErr w:type="spellEnd"/>
            <w:r>
              <w:rPr>
                <w:sz w:val="20"/>
                <w:szCs w:val="20"/>
              </w:rPr>
              <w:t xml:space="preserve"> </w:t>
            </w:r>
            <w:proofErr w:type="spellStart"/>
            <w:r>
              <w:rPr>
                <w:sz w:val="20"/>
                <w:szCs w:val="20"/>
              </w:rPr>
              <w:t>Contracting</w:t>
            </w:r>
            <w:proofErr w:type="spellEnd"/>
            <w:r>
              <w:rPr>
                <w:sz w:val="20"/>
                <w:szCs w:val="20"/>
              </w:rPr>
              <w:t xml:space="preserve"> </w:t>
            </w:r>
            <w:proofErr w:type="spellStart"/>
            <w:r>
              <w:rPr>
                <w:sz w:val="20"/>
                <w:szCs w:val="20"/>
              </w:rPr>
              <w:t>for</w:t>
            </w:r>
            <w:proofErr w:type="spellEnd"/>
            <w:r>
              <w:rPr>
                <w:sz w:val="20"/>
                <w:szCs w:val="20"/>
              </w:rPr>
              <w:t xml:space="preserve"> </w:t>
            </w:r>
            <w:proofErr w:type="spellStart"/>
            <w:r>
              <w:rPr>
                <w:sz w:val="20"/>
                <w:szCs w:val="20"/>
              </w:rPr>
              <w:t>Infrastructure</w:t>
            </w:r>
            <w:proofErr w:type="spellEnd"/>
            <w:r>
              <w:rPr>
                <w:sz w:val="20"/>
                <w:szCs w:val="20"/>
              </w:rPr>
              <w:t xml:space="preserve"> </w:t>
            </w:r>
            <w:proofErr w:type="spellStart"/>
            <w:r>
              <w:rPr>
                <w:sz w:val="20"/>
                <w:szCs w:val="20"/>
              </w:rPr>
              <w:t>Data</w:t>
            </w:r>
            <w:proofErr w:type="spellEnd"/>
            <w:r>
              <w:rPr>
                <w:sz w:val="20"/>
                <w:szCs w:val="20"/>
              </w:rPr>
              <w:t xml:space="preserve"> Standard (для облдержадміністрацій)</w:t>
            </w:r>
          </w:p>
        </w:tc>
        <w:tc>
          <w:tcPr>
            <w:tcW w:w="5385"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tcPr>
          <w:p w:rsidR="00743505" w:rsidRDefault="00BD3770">
            <w:pPr>
              <w:widowControl w:val="0"/>
              <w:spacing w:after="0"/>
              <w:ind w:right="-69"/>
              <w:jc w:val="left"/>
              <w:rPr>
                <w:sz w:val="20"/>
                <w:szCs w:val="20"/>
              </w:rPr>
            </w:pPr>
            <w:r>
              <w:rPr>
                <w:sz w:val="20"/>
                <w:szCs w:val="20"/>
              </w:rPr>
              <w:t>Потребує оприлюднення з урахуванням у тому числі останніх рекомендацій Міністерства цифрової трансформації України.</w:t>
            </w:r>
          </w:p>
        </w:tc>
      </w:tr>
      <w:tr w:rsidR="00743505">
        <w:tc>
          <w:tcPr>
            <w:tcW w:w="4800" w:type="dxa"/>
            <w:tcBorders>
              <w:top w:val="single" w:sz="3" w:space="0" w:color="CCCCCC"/>
              <w:left w:val="single" w:sz="3" w:space="0" w:color="CCCCCC"/>
              <w:bottom w:val="single" w:sz="3" w:space="0" w:color="CCCCCC"/>
              <w:right w:val="single" w:sz="3" w:space="0" w:color="000000"/>
            </w:tcBorders>
            <w:tcMar>
              <w:top w:w="40" w:type="dxa"/>
              <w:left w:w="0" w:type="dxa"/>
              <w:bottom w:w="40" w:type="dxa"/>
              <w:right w:w="0" w:type="dxa"/>
            </w:tcMar>
            <w:vAlign w:val="bottom"/>
          </w:tcPr>
          <w:p w:rsidR="00743505" w:rsidRDefault="00BD3770">
            <w:pPr>
              <w:widowControl w:val="0"/>
              <w:spacing w:after="0"/>
              <w:jc w:val="left"/>
              <w:rPr>
                <w:sz w:val="20"/>
                <w:szCs w:val="20"/>
              </w:rPr>
            </w:pPr>
            <w:r>
              <w:rPr>
                <w:sz w:val="20"/>
                <w:szCs w:val="20"/>
              </w:rPr>
              <w:lastRenderedPageBreak/>
              <w:t>Перелік автомобільних доріг загального користування місцевого значення (для облдержадміністрацій)</w:t>
            </w:r>
          </w:p>
        </w:tc>
        <w:tc>
          <w:tcPr>
            <w:tcW w:w="5385"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tcPr>
          <w:p w:rsidR="00743505" w:rsidRDefault="00BD3770">
            <w:pPr>
              <w:widowControl w:val="0"/>
              <w:spacing w:after="0"/>
              <w:ind w:right="-69"/>
              <w:jc w:val="left"/>
              <w:rPr>
                <w:sz w:val="20"/>
                <w:szCs w:val="20"/>
              </w:rPr>
            </w:pPr>
            <w:r>
              <w:rPr>
                <w:sz w:val="20"/>
                <w:szCs w:val="20"/>
              </w:rPr>
              <w:t>Потребує оприлюднення з урахуванням у тому числі останніх рекомендацій Міністерства цифрової трансформації України.</w:t>
            </w:r>
          </w:p>
        </w:tc>
      </w:tr>
    </w:tbl>
    <w:p w:rsidR="00743505" w:rsidRDefault="00743505">
      <w:pPr>
        <w:ind w:right="-607"/>
      </w:pPr>
    </w:p>
    <w:p w:rsidR="00743505" w:rsidRDefault="00BD3770">
      <w:pPr>
        <w:ind w:right="-7"/>
      </w:pPr>
      <w:r>
        <w:t xml:space="preserve">Значна частина із ініціативних наборів відкритих даних представляє собою структуровані та </w:t>
      </w:r>
      <w:proofErr w:type="spellStart"/>
      <w:r>
        <w:t>машиночитані</w:t>
      </w:r>
      <w:proofErr w:type="spellEnd"/>
      <w:r>
        <w:t xml:space="preserve"> таблиці стандартного зразка.  Набори містять дані про соціально-економічні показники у розрізі громад та районів (зокрема набори даних, які використовуються для Порталу місцевої статистики Львівщини).</w:t>
      </w:r>
    </w:p>
    <w:p w:rsidR="00743505" w:rsidRDefault="00BD3770">
      <w:pPr>
        <w:ind w:right="-7"/>
      </w:pPr>
      <w:r>
        <w:t>Ресурси, назва яких вказана українською мовою, мають бути перейменовані латинськими літерами.</w:t>
      </w:r>
    </w:p>
    <w:p w:rsidR="00743505" w:rsidRDefault="00BD3770">
      <w:pPr>
        <w:ind w:right="-7"/>
      </w:pPr>
      <w:r>
        <w:t>При оприлюдненні даних ЛОВА рекомендовано оприлюднювати набори відкритих даних та ресурси відповідно до рекомендацій Міністерства цифрової трансформації України.</w:t>
      </w:r>
    </w:p>
    <w:p w:rsidR="00743505" w:rsidRDefault="00BD3770">
      <w:pPr>
        <w:ind w:right="-7"/>
      </w:pPr>
      <w:r>
        <w:t>Переважна більшість наборів відкритих даних, які оприлюднені ЛОВА, оновлюється відповідно до заявленої частоти. Проте формат оновлення таких наборів даних та їх структура мають бути приведені до останніх рекомендацій Міністерства цифрової трансформації України.</w:t>
      </w:r>
    </w:p>
    <w:p w:rsidR="00743505" w:rsidRDefault="00BD3770">
      <w:pPr>
        <w:ind w:right="-7"/>
      </w:pPr>
      <w:r>
        <w:t>Загалом можна відмітити високий рівень дисципліни посадових осіб у роботі з відкритими даними, рекомендовано провести додаткове спеціалізоване навчання осіб, відповідальних за оприлюднення відкритих даних у структурних підрозділах ЛОВА.</w:t>
      </w:r>
    </w:p>
    <w:p w:rsidR="00743505" w:rsidRDefault="00BD3770">
      <w:pPr>
        <w:pStyle w:val="3"/>
        <w:ind w:right="-7"/>
      </w:pPr>
      <w:bookmarkStart w:id="13" w:name="_9wsgagh4cic9" w:colFirst="0" w:colLast="0"/>
      <w:bookmarkEnd w:id="13"/>
      <w:r>
        <w:t>Аналіз інформаційних сервісів</w:t>
      </w:r>
    </w:p>
    <w:p w:rsidR="00743505" w:rsidRDefault="00BD3770">
      <w:pPr>
        <w:ind w:right="-7"/>
      </w:pPr>
      <w:r>
        <w:t>ЛОВА є держателем низки інформаційних сервісів, перелік яких наведено нижче. Більшість структурних підрозділів ЛОВА не має власних веб-сайтів і вся інформація оприлюднюється ними на офіційному веб-сайті ЛОВА. Також ЛОВА запущені два інформаційні портали Аналітичний портал Львівщини (</w:t>
      </w:r>
      <w:hyperlink r:id="rId11">
        <w:r>
          <w:rPr>
            <w:u w:val="single"/>
          </w:rPr>
          <w:t>https://apl.loda.gov.ua</w:t>
        </w:r>
      </w:hyperlink>
      <w:r>
        <w:t>) адміністрування якого покладене на департамент економічної політики та Портал місцевої статистики Львівщини (</w:t>
      </w:r>
      <w:hyperlink r:id="rId12">
        <w:r>
          <w:rPr>
            <w:u w:val="single"/>
          </w:rPr>
          <w:t>https://stat.loda.gov.ua/</w:t>
        </w:r>
      </w:hyperlink>
      <w:r>
        <w:t xml:space="preserve">), який </w:t>
      </w:r>
      <w:proofErr w:type="spellStart"/>
      <w:r>
        <w:t>адмініструється</w:t>
      </w:r>
      <w:proofErr w:type="spellEnd"/>
      <w:r>
        <w:t xml:space="preserve"> управлінням з питань цифрового розвитку.</w:t>
      </w:r>
    </w:p>
    <w:p w:rsidR="00743505" w:rsidRDefault="00BD3770">
      <w:pPr>
        <w:ind w:right="-7"/>
      </w:pPr>
      <w:r>
        <w:t>Перелік інформаційних сервісів, держателем яких є ЛОВА:</w:t>
      </w:r>
    </w:p>
    <w:p w:rsidR="00743505" w:rsidRDefault="00BD3770">
      <w:pPr>
        <w:numPr>
          <w:ilvl w:val="0"/>
          <w:numId w:val="16"/>
        </w:numPr>
        <w:spacing w:after="0"/>
      </w:pPr>
      <w:r>
        <w:t>Офіційний веб-сайт Львівської обласної військової адміністрації  (</w:t>
      </w:r>
      <w:hyperlink r:id="rId13">
        <w:r>
          <w:rPr>
            <w:u w:val="single"/>
          </w:rPr>
          <w:t>https://loda.gov.ua</w:t>
        </w:r>
      </w:hyperlink>
      <w:r>
        <w:t>)</w:t>
      </w:r>
    </w:p>
    <w:p w:rsidR="00743505" w:rsidRDefault="00BD3770">
      <w:pPr>
        <w:numPr>
          <w:ilvl w:val="0"/>
          <w:numId w:val="16"/>
        </w:numPr>
        <w:spacing w:after="0"/>
      </w:pPr>
      <w:r>
        <w:t>Департамент екології та природних ресурсів Львівської обласної державної адміністрації (https://deplv.gov.ua)</w:t>
      </w:r>
    </w:p>
    <w:p w:rsidR="00743505" w:rsidRDefault="00BD3770">
      <w:pPr>
        <w:numPr>
          <w:ilvl w:val="0"/>
          <w:numId w:val="16"/>
        </w:numPr>
        <w:spacing w:after="0"/>
      </w:pPr>
      <w:r>
        <w:t>Департамент освіти і науки Львівської обласної державної адміністрації (https://osvita.loda.gov.ua)</w:t>
      </w:r>
    </w:p>
    <w:p w:rsidR="00743505" w:rsidRDefault="00BD3770">
      <w:pPr>
        <w:numPr>
          <w:ilvl w:val="0"/>
          <w:numId w:val="16"/>
        </w:numPr>
        <w:spacing w:after="0"/>
      </w:pPr>
      <w:r>
        <w:t>Департамент економічної політики (http://ibh.asd.company)</w:t>
      </w:r>
    </w:p>
    <w:p w:rsidR="00743505" w:rsidRDefault="00BD3770">
      <w:pPr>
        <w:numPr>
          <w:ilvl w:val="0"/>
          <w:numId w:val="16"/>
        </w:numPr>
        <w:spacing w:after="0"/>
      </w:pPr>
      <w:r>
        <w:t>Департамент спорту молоді та туризму (https://sport.loda.gov.ua)</w:t>
      </w:r>
    </w:p>
    <w:p w:rsidR="00743505" w:rsidRDefault="00BD3770">
      <w:pPr>
        <w:numPr>
          <w:ilvl w:val="0"/>
          <w:numId w:val="16"/>
        </w:numPr>
        <w:spacing w:after="0"/>
      </w:pPr>
      <w:r>
        <w:t>Державний архів Львівської області (https://archivelviv.gov.ua)</w:t>
      </w:r>
    </w:p>
    <w:p w:rsidR="00743505" w:rsidRDefault="00BD3770">
      <w:pPr>
        <w:numPr>
          <w:ilvl w:val="0"/>
          <w:numId w:val="16"/>
        </w:numPr>
        <w:spacing w:after="0"/>
      </w:pPr>
      <w:r>
        <w:t>Місцевий портал відкритих даних Львівщини (https://data.loda.gov.ua)</w:t>
      </w:r>
    </w:p>
    <w:p w:rsidR="00743505" w:rsidRDefault="00BD3770">
      <w:pPr>
        <w:numPr>
          <w:ilvl w:val="0"/>
          <w:numId w:val="16"/>
        </w:numPr>
        <w:spacing w:after="0"/>
      </w:pPr>
      <w:r>
        <w:t>Аналітичний портал Львівщини (</w:t>
      </w:r>
      <w:hyperlink r:id="rId14">
        <w:r>
          <w:rPr>
            <w:u w:val="single"/>
          </w:rPr>
          <w:t>https://apl.loda.gov.ua</w:t>
        </w:r>
      </w:hyperlink>
      <w:r>
        <w:t>)</w:t>
      </w:r>
    </w:p>
    <w:p w:rsidR="00743505" w:rsidRDefault="00BD3770">
      <w:pPr>
        <w:numPr>
          <w:ilvl w:val="0"/>
          <w:numId w:val="16"/>
        </w:numPr>
      </w:pPr>
      <w:r>
        <w:t>Портал місцевої статистики Львівщини (</w:t>
      </w:r>
      <w:hyperlink r:id="rId15">
        <w:r>
          <w:rPr>
            <w:u w:val="single"/>
          </w:rPr>
          <w:t>https://stat.loda.gov.ua/</w:t>
        </w:r>
      </w:hyperlink>
      <w:r>
        <w:t>)</w:t>
      </w:r>
    </w:p>
    <w:p w:rsidR="00743505" w:rsidRDefault="00BD3770">
      <w:r>
        <w:lastRenderedPageBreak/>
        <w:t>Посадові особи ЛОВА використовують різні інформаційні системи для своєї роботи. Серед тих систем, які були визначені під час віддаленого інформаційного аудиту, та держателем і адміністратором яких є ЛОВА, можна навести наступні:</w:t>
      </w:r>
    </w:p>
    <w:p w:rsidR="00743505" w:rsidRDefault="00BD3770">
      <w:pPr>
        <w:numPr>
          <w:ilvl w:val="0"/>
          <w:numId w:val="2"/>
        </w:numPr>
        <w:spacing w:after="0"/>
      </w:pPr>
      <w:r>
        <w:t xml:space="preserve">СЕД </w:t>
      </w:r>
      <w:proofErr w:type="spellStart"/>
      <w:r>
        <w:t>Megapolis.DocNet</w:t>
      </w:r>
      <w:proofErr w:type="spellEnd"/>
      <w:r>
        <w:t xml:space="preserve"> – система електронного документообігу, яка використовується усіма структурними підрозділами ЛОВА;</w:t>
      </w:r>
    </w:p>
    <w:p w:rsidR="00743505" w:rsidRDefault="00BD3770">
      <w:pPr>
        <w:numPr>
          <w:ilvl w:val="0"/>
          <w:numId w:val="2"/>
        </w:numPr>
        <w:spacing w:after="0"/>
      </w:pPr>
      <w:r>
        <w:t xml:space="preserve">Система ведення містобудівного кадастру </w:t>
      </w:r>
      <w:proofErr w:type="spellStart"/>
      <w:r>
        <w:t>Softpro</w:t>
      </w:r>
      <w:proofErr w:type="spellEnd"/>
      <w:r>
        <w:t>;</w:t>
      </w:r>
    </w:p>
    <w:p w:rsidR="00743505" w:rsidRDefault="00BD3770">
      <w:pPr>
        <w:numPr>
          <w:ilvl w:val="0"/>
          <w:numId w:val="2"/>
        </w:numPr>
        <w:spacing w:after="0"/>
      </w:pPr>
      <w:proofErr w:type="spellStart"/>
      <w:r>
        <w:t>uMuni</w:t>
      </w:r>
      <w:proofErr w:type="spellEnd"/>
      <w:r>
        <w:t xml:space="preserve"> – система обліку використання комунальних ресурсів комунальними підприємствами, установами та організаціями;</w:t>
      </w:r>
    </w:p>
    <w:p w:rsidR="00743505" w:rsidRDefault="00BD3770">
      <w:pPr>
        <w:numPr>
          <w:ilvl w:val="0"/>
          <w:numId w:val="2"/>
        </w:numPr>
        <w:spacing w:after="0"/>
      </w:pPr>
      <w:r>
        <w:t>ІАС “Місцеві бюджети” – система для ведення бюджетного процесу на рівні області;</w:t>
      </w:r>
    </w:p>
    <w:p w:rsidR="00743505" w:rsidRDefault="00BD3770">
      <w:pPr>
        <w:numPr>
          <w:ilvl w:val="0"/>
          <w:numId w:val="2"/>
        </w:numPr>
      </w:pPr>
      <w:r>
        <w:t>Система обліку медичних кадрів “Кадри”.</w:t>
      </w:r>
    </w:p>
    <w:p w:rsidR="00743505" w:rsidRDefault="00BD3770">
      <w:r>
        <w:t xml:space="preserve">Посадові особи ЛОВА також працюють із низкою національних інформаційних систем,  </w:t>
      </w:r>
      <w:proofErr w:type="spellStart"/>
      <w:r>
        <w:t>держателеми</w:t>
      </w:r>
      <w:proofErr w:type="spellEnd"/>
      <w:r>
        <w:t xml:space="preserve"> яких є ЦОВВ: система “Є-звітність”, </w:t>
      </w:r>
      <w:proofErr w:type="spellStart"/>
      <w:r>
        <w:t>Meddata</w:t>
      </w:r>
      <w:proofErr w:type="spellEnd"/>
      <w:r>
        <w:t>, “e-</w:t>
      </w:r>
      <w:proofErr w:type="spellStart"/>
      <w:r>
        <w:t>Stock</w:t>
      </w:r>
      <w:proofErr w:type="spellEnd"/>
      <w:r>
        <w:t>”, тощо.</w:t>
      </w:r>
    </w:p>
    <w:p w:rsidR="00743505" w:rsidRDefault="00BD3770">
      <w:r>
        <w:t>Детальний перелік публічної інформації та інформаційних систем, в яких вона міститься, наведений у результатах віддаленого інформаційного аудиту.</w:t>
      </w:r>
    </w:p>
    <w:p w:rsidR="00743505" w:rsidRDefault="00BD3770">
      <w:pPr>
        <w:pStyle w:val="3"/>
        <w:ind w:right="-607"/>
      </w:pPr>
      <w:bookmarkStart w:id="14" w:name="_5wn3z8jm61kc" w:colFirst="0" w:colLast="0"/>
      <w:bookmarkEnd w:id="14"/>
      <w:r>
        <w:t>Аналіз результатів проведених консультацій із громадськістю</w:t>
      </w:r>
    </w:p>
    <w:p w:rsidR="00743505" w:rsidRDefault="00BD3770">
      <w:pPr>
        <w:ind w:right="-607"/>
      </w:pPr>
      <w:r>
        <w:t xml:space="preserve">Консультації з громадськістю були проведені відповідно до  Розпорядження Начальника ЛОВА </w:t>
      </w:r>
      <w:r>
        <w:rPr>
          <w:highlight w:val="white"/>
        </w:rPr>
        <w:t>№755/0/5-25ВА</w:t>
      </w:r>
      <w:r>
        <w:t xml:space="preserve"> від 27.06.2025 (</w:t>
      </w:r>
      <w:hyperlink r:id="rId16">
        <w:r>
          <w:rPr>
            <w:u w:val="single"/>
          </w:rPr>
          <w:t>https://loda.gov.ua/documents/141098</w:t>
        </w:r>
      </w:hyperlink>
      <w:r>
        <w:t xml:space="preserve">). </w:t>
      </w:r>
    </w:p>
    <w:p w:rsidR="00743505" w:rsidRDefault="00BD3770">
      <w:pPr>
        <w:ind w:right="-607"/>
      </w:pPr>
      <w:r>
        <w:t xml:space="preserve">Консультації з громадськістю проводились протягом 30 червня - 15 липня 2025 року відповідно до Порядку проведення </w:t>
      </w:r>
      <w:proofErr w:type="spellStart"/>
      <w:r>
        <w:t>консультаціи</w:t>
      </w:r>
      <w:proofErr w:type="spellEnd"/>
      <w:r>
        <w:t xml:space="preserve">̆ з громадськістю з питань формування та </w:t>
      </w:r>
      <w:proofErr w:type="spellStart"/>
      <w:r>
        <w:t>реалізаціі</w:t>
      </w:r>
      <w:proofErr w:type="spellEnd"/>
      <w:r>
        <w:t xml:space="preserve">̈ </w:t>
      </w:r>
      <w:proofErr w:type="spellStart"/>
      <w:r>
        <w:t>державноі</w:t>
      </w:r>
      <w:proofErr w:type="spellEnd"/>
      <w:r>
        <w:t xml:space="preserve">̈ політики, затвердженого постановою Кабінету Міністрів </w:t>
      </w:r>
      <w:proofErr w:type="spellStart"/>
      <w:r>
        <w:t>України</w:t>
      </w:r>
      <w:proofErr w:type="spellEnd"/>
      <w:r>
        <w:t xml:space="preserve"> від 03 листопада 2010 року № 996 «Про забезпечення участі громадськості у формуванні та </w:t>
      </w:r>
      <w:proofErr w:type="spellStart"/>
      <w:r>
        <w:t>реалізаціі</w:t>
      </w:r>
      <w:proofErr w:type="spellEnd"/>
      <w:r>
        <w:t xml:space="preserve">̈ </w:t>
      </w:r>
      <w:proofErr w:type="spellStart"/>
      <w:r>
        <w:t>державноі</w:t>
      </w:r>
      <w:proofErr w:type="spellEnd"/>
      <w:r>
        <w:t xml:space="preserve">̈ політики», на </w:t>
      </w:r>
      <w:proofErr w:type="spellStart"/>
      <w:r>
        <w:t>офіційному</w:t>
      </w:r>
      <w:proofErr w:type="spellEnd"/>
      <w:r>
        <w:t xml:space="preserve"> </w:t>
      </w:r>
      <w:proofErr w:type="spellStart"/>
      <w:r>
        <w:t>веб-сайті</w:t>
      </w:r>
      <w:proofErr w:type="spellEnd"/>
      <w:r>
        <w:t xml:space="preserve"> </w:t>
      </w:r>
      <w:proofErr w:type="spellStart"/>
      <w:r>
        <w:t>Львівськоі</w:t>
      </w:r>
      <w:proofErr w:type="spellEnd"/>
      <w:r>
        <w:t xml:space="preserve">̈ </w:t>
      </w:r>
      <w:proofErr w:type="spellStart"/>
      <w:r>
        <w:t>обласноі</w:t>
      </w:r>
      <w:proofErr w:type="spellEnd"/>
      <w:r>
        <w:t xml:space="preserve">̈ </w:t>
      </w:r>
      <w:proofErr w:type="spellStart"/>
      <w:r>
        <w:t>військовоі</w:t>
      </w:r>
      <w:proofErr w:type="spellEnd"/>
      <w:r>
        <w:t xml:space="preserve">̈ </w:t>
      </w:r>
      <w:proofErr w:type="spellStart"/>
      <w:r>
        <w:t>адміністраціі</w:t>
      </w:r>
      <w:proofErr w:type="spellEnd"/>
      <w:r>
        <w:t>̈ в розділі “</w:t>
      </w:r>
      <w:proofErr w:type="spellStart"/>
      <w:r>
        <w:t>Консультаціі</w:t>
      </w:r>
      <w:proofErr w:type="spellEnd"/>
      <w:r>
        <w:t>̈ з громадськістю”.</w:t>
      </w:r>
    </w:p>
    <w:p w:rsidR="00743505" w:rsidRDefault="00BD3770">
      <w:pPr>
        <w:ind w:right="-607"/>
      </w:pPr>
      <w:r>
        <w:t>Під час проведених консультацій із громадськістю було отримано 1 пропозицію.</w:t>
      </w:r>
    </w:p>
    <w:p w:rsidR="00743505" w:rsidRDefault="00BD3770">
      <w:pPr>
        <w:ind w:right="-607"/>
      </w:pPr>
      <w:r>
        <w:t xml:space="preserve">Інформація, яка цікавила громадськість, стосувалась сфери діяльності департаменту агропромислового розвитку, департаменту архітектури та розвитку містобудування, департаменту дорожнього господарства, департаменту економічної політики, департаменту міжнародного співробітництва, департаменту освіти і науки, департаменту охорони здоров'я, департаменту паливно-енергетичного комплексу, енергоефективності та житлово-комунального господарства, Державного архіву Львівської області, управління капітального будівництва, управління з питань цифрового розвитку. </w:t>
      </w:r>
    </w:p>
    <w:p w:rsidR="00743505" w:rsidRDefault="00BD3770">
      <w:pPr>
        <w:ind w:right="-607"/>
      </w:pPr>
      <w:r>
        <w:t>Результати проведених консультацій із громадськістю були враховані під час вибору структурних підрозділів, в яких проводився очний інформаційний аудит. Також в пріоритет ставились структурні підрозділи, які раніше не було залучено до очного аудиту.</w:t>
      </w:r>
    </w:p>
    <w:p w:rsidR="00743505" w:rsidRDefault="00BD3770">
      <w:pPr>
        <w:ind w:right="-607"/>
      </w:pPr>
      <w:r>
        <w:t xml:space="preserve">Незначна кількість відповідей на консультації не дає можливості в повній мірі оцінити зацікавленість громадськості в тій чи іншій публічній інформації, в тому числі в формі відкритих даних. Серед причин низької активності громадськості можна припустити нерозуміння </w:t>
      </w:r>
      <w:r>
        <w:lastRenderedPageBreak/>
        <w:t>розмежування повноважень обласних державних (військових) адміністрацій та органів місцевого самоврядування.</w:t>
      </w:r>
      <w:r>
        <w:tab/>
      </w:r>
    </w:p>
    <w:p w:rsidR="00743505" w:rsidRDefault="00BD3770">
      <w:pPr>
        <w:pStyle w:val="3"/>
        <w:ind w:right="-607"/>
      </w:pPr>
      <w:bookmarkStart w:id="15" w:name="_j6p3hvwe8s8e" w:colFirst="0" w:colLast="0"/>
      <w:bookmarkEnd w:id="15"/>
      <w:r>
        <w:t>Результати проведеного віддаленого інформаційного аудиту</w:t>
      </w:r>
    </w:p>
    <w:p w:rsidR="00743505" w:rsidRDefault="00BD3770">
      <w:r>
        <w:t xml:space="preserve">Під час етапу віддаленого інформаційного аудиту було зібрано 1705 анкет від 475 посадових осіб у </w:t>
      </w:r>
      <w:proofErr w:type="spellStart"/>
      <w:r>
        <w:t>апараті</w:t>
      </w:r>
      <w:proofErr w:type="spellEnd"/>
      <w:r>
        <w:t xml:space="preserve"> та 20 структурних підрозділах ЛОВА. </w:t>
      </w:r>
    </w:p>
    <w:p w:rsidR="00743505" w:rsidRDefault="00BD3770">
      <w:pPr>
        <w:rPr>
          <w:highlight w:val="yellow"/>
        </w:rPr>
      </w:pPr>
      <w:r>
        <w:t xml:space="preserve">Набір відкритих даних із результатами віддаленого інформаційного аудиту оприлюднено за посиланням: </w:t>
      </w:r>
      <w:hyperlink r:id="rId17">
        <w:r>
          <w:rPr>
            <w:u w:val="single"/>
          </w:rPr>
          <w:t>https://data.loda.gov.ua/dataset/32d3f3ad-fb5d-4e34-8f84-0cb118cd20d4</w:t>
        </w:r>
      </w:hyperlink>
      <w:r>
        <w:t xml:space="preserve"> </w:t>
      </w:r>
    </w:p>
    <w:p w:rsidR="00743505" w:rsidRDefault="00BD3770">
      <w:r>
        <w:t>Детальна розбивка за поданими анкетами наведена у таблиці.</w:t>
      </w:r>
    </w:p>
    <w:tbl>
      <w:tblPr>
        <w:tblStyle w:val="a7"/>
        <w:tblW w:w="9330" w:type="dxa"/>
        <w:tblInd w:w="15" w:type="dxa"/>
        <w:tblBorders>
          <w:top w:val="nil"/>
          <w:left w:val="nil"/>
          <w:bottom w:val="nil"/>
          <w:right w:val="nil"/>
          <w:insideH w:val="nil"/>
          <w:insideV w:val="nil"/>
        </w:tblBorders>
        <w:tblLayout w:type="fixed"/>
        <w:tblLook w:val="0600" w:firstRow="0" w:lastRow="0" w:firstColumn="0" w:lastColumn="0" w:noHBand="1" w:noVBand="1"/>
      </w:tblPr>
      <w:tblGrid>
        <w:gridCol w:w="6015"/>
        <w:gridCol w:w="1500"/>
        <w:gridCol w:w="1815"/>
      </w:tblGrid>
      <w:tr w:rsidR="00743505">
        <w:trPr>
          <w:trHeight w:val="684"/>
        </w:trPr>
        <w:tc>
          <w:tcPr>
            <w:tcW w:w="6015"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743505" w:rsidRDefault="00BD3770">
            <w:pPr>
              <w:widowControl w:val="0"/>
              <w:spacing w:after="0"/>
              <w:jc w:val="center"/>
              <w:rPr>
                <w:b/>
              </w:rPr>
            </w:pPr>
            <w:proofErr w:type="spellStart"/>
            <w:r>
              <w:rPr>
                <w:b/>
              </w:rPr>
              <w:t>Структурни</w:t>
            </w:r>
            <w:proofErr w:type="spellEnd"/>
            <w:r>
              <w:rPr>
                <w:b/>
              </w:rPr>
              <w:t xml:space="preserve"> підрозділ</w:t>
            </w:r>
          </w:p>
        </w:tc>
        <w:tc>
          <w:tcPr>
            <w:tcW w:w="1500"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tcPr>
          <w:p w:rsidR="00743505" w:rsidRDefault="00BD3770">
            <w:pPr>
              <w:widowControl w:val="0"/>
              <w:spacing w:after="0"/>
              <w:jc w:val="center"/>
              <w:rPr>
                <w:b/>
              </w:rPr>
            </w:pPr>
            <w:r>
              <w:rPr>
                <w:b/>
              </w:rPr>
              <w:t>Кількість анкет</w:t>
            </w:r>
          </w:p>
        </w:tc>
        <w:tc>
          <w:tcPr>
            <w:tcW w:w="1815" w:type="dxa"/>
            <w:tcBorders>
              <w:top w:val="single" w:sz="4" w:space="0" w:color="000000"/>
              <w:left w:val="single" w:sz="4" w:space="0" w:color="000000"/>
              <w:bottom w:val="single" w:sz="4" w:space="0" w:color="000000"/>
              <w:right w:val="single" w:sz="4" w:space="0" w:color="000000"/>
            </w:tcBorders>
            <w:tcMar>
              <w:top w:w="40" w:type="dxa"/>
              <w:left w:w="0" w:type="dxa"/>
              <w:bottom w:w="40" w:type="dxa"/>
              <w:right w:w="0" w:type="dxa"/>
            </w:tcMar>
          </w:tcPr>
          <w:p w:rsidR="00743505" w:rsidRDefault="00BD3770">
            <w:pPr>
              <w:widowControl w:val="0"/>
              <w:spacing w:after="0"/>
              <w:jc w:val="center"/>
              <w:rPr>
                <w:b/>
              </w:rPr>
            </w:pPr>
            <w:r>
              <w:rPr>
                <w:b/>
              </w:rPr>
              <w:t>Кількість посадових осіб</w:t>
            </w:r>
          </w:p>
        </w:tc>
      </w:tr>
      <w:tr w:rsidR="00743505">
        <w:trPr>
          <w:trHeight w:val="315"/>
        </w:trPr>
        <w:tc>
          <w:tcPr>
            <w:tcW w:w="601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left"/>
            </w:pPr>
            <w:r>
              <w:t>Апарат</w:t>
            </w:r>
          </w:p>
        </w:tc>
        <w:tc>
          <w:tcPr>
            <w:tcW w:w="1500"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right"/>
            </w:pPr>
            <w:r>
              <w:t>197</w:t>
            </w:r>
          </w:p>
        </w:tc>
        <w:tc>
          <w:tcPr>
            <w:tcW w:w="181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right"/>
            </w:pPr>
            <w:r>
              <w:t>43</w:t>
            </w:r>
          </w:p>
        </w:tc>
      </w:tr>
      <w:tr w:rsidR="00743505">
        <w:trPr>
          <w:trHeight w:val="540"/>
        </w:trPr>
        <w:tc>
          <w:tcPr>
            <w:tcW w:w="601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left"/>
            </w:pPr>
            <w:r>
              <w:t>Департамент фінансів</w:t>
            </w:r>
          </w:p>
        </w:tc>
        <w:tc>
          <w:tcPr>
            <w:tcW w:w="1500"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right"/>
            </w:pPr>
            <w:r>
              <w:t>147</w:t>
            </w:r>
          </w:p>
        </w:tc>
        <w:tc>
          <w:tcPr>
            <w:tcW w:w="181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right"/>
            </w:pPr>
            <w:r>
              <w:t>33</w:t>
            </w:r>
          </w:p>
        </w:tc>
      </w:tr>
      <w:tr w:rsidR="00743505">
        <w:trPr>
          <w:trHeight w:val="525"/>
        </w:trPr>
        <w:tc>
          <w:tcPr>
            <w:tcW w:w="601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left"/>
            </w:pPr>
            <w:r>
              <w:t>Департамент агропромислового розвитку</w:t>
            </w:r>
          </w:p>
        </w:tc>
        <w:tc>
          <w:tcPr>
            <w:tcW w:w="1500"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right"/>
            </w:pPr>
            <w:r>
              <w:t>145</w:t>
            </w:r>
          </w:p>
        </w:tc>
        <w:tc>
          <w:tcPr>
            <w:tcW w:w="181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right"/>
            </w:pPr>
            <w:r>
              <w:t>21</w:t>
            </w:r>
          </w:p>
        </w:tc>
      </w:tr>
      <w:tr w:rsidR="00743505">
        <w:trPr>
          <w:trHeight w:val="465"/>
        </w:trPr>
        <w:tc>
          <w:tcPr>
            <w:tcW w:w="601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left"/>
            </w:pPr>
            <w:r>
              <w:t>Департамент соціального захисту населення</w:t>
            </w:r>
          </w:p>
        </w:tc>
        <w:tc>
          <w:tcPr>
            <w:tcW w:w="1500"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right"/>
            </w:pPr>
            <w:r>
              <w:t>103</w:t>
            </w:r>
          </w:p>
        </w:tc>
        <w:tc>
          <w:tcPr>
            <w:tcW w:w="181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right"/>
            </w:pPr>
            <w:r>
              <w:t>30</w:t>
            </w:r>
          </w:p>
        </w:tc>
      </w:tr>
      <w:tr w:rsidR="00743505">
        <w:trPr>
          <w:trHeight w:val="540"/>
        </w:trPr>
        <w:tc>
          <w:tcPr>
            <w:tcW w:w="601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left"/>
            </w:pPr>
            <w:r>
              <w:t>Департамент освіти і науки</w:t>
            </w:r>
          </w:p>
        </w:tc>
        <w:tc>
          <w:tcPr>
            <w:tcW w:w="1500"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right"/>
            </w:pPr>
            <w:r>
              <w:t>233</w:t>
            </w:r>
          </w:p>
        </w:tc>
        <w:tc>
          <w:tcPr>
            <w:tcW w:w="181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right"/>
            </w:pPr>
            <w:r>
              <w:t>54</w:t>
            </w:r>
          </w:p>
        </w:tc>
      </w:tr>
      <w:tr w:rsidR="00743505">
        <w:trPr>
          <w:trHeight w:val="1050"/>
        </w:trPr>
        <w:tc>
          <w:tcPr>
            <w:tcW w:w="601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left"/>
            </w:pPr>
            <w:r>
              <w:t>Департамент паливно-енергетичного комплексу енергоефективності та житлово-комунального господарства</w:t>
            </w:r>
          </w:p>
        </w:tc>
        <w:tc>
          <w:tcPr>
            <w:tcW w:w="1500"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right"/>
            </w:pPr>
            <w:r>
              <w:t>95</w:t>
            </w:r>
          </w:p>
        </w:tc>
        <w:tc>
          <w:tcPr>
            <w:tcW w:w="181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right"/>
            </w:pPr>
            <w:r>
              <w:t>27</w:t>
            </w:r>
          </w:p>
        </w:tc>
      </w:tr>
      <w:tr w:rsidR="00743505">
        <w:trPr>
          <w:trHeight w:val="405"/>
        </w:trPr>
        <w:tc>
          <w:tcPr>
            <w:tcW w:w="601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left"/>
            </w:pPr>
            <w:r>
              <w:t>Департамент охорони здоров’я</w:t>
            </w:r>
          </w:p>
        </w:tc>
        <w:tc>
          <w:tcPr>
            <w:tcW w:w="1500"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right"/>
            </w:pPr>
            <w:r>
              <w:t>92</w:t>
            </w:r>
          </w:p>
        </w:tc>
        <w:tc>
          <w:tcPr>
            <w:tcW w:w="181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right"/>
            </w:pPr>
            <w:r>
              <w:t>22</w:t>
            </w:r>
          </w:p>
        </w:tc>
      </w:tr>
      <w:tr w:rsidR="00743505">
        <w:trPr>
          <w:trHeight w:val="435"/>
        </w:trPr>
        <w:tc>
          <w:tcPr>
            <w:tcW w:w="601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left"/>
            </w:pPr>
            <w:r>
              <w:t>Департамент архітектури та розвитку містобудування</w:t>
            </w:r>
          </w:p>
        </w:tc>
        <w:tc>
          <w:tcPr>
            <w:tcW w:w="1500"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right"/>
            </w:pPr>
            <w:r>
              <w:t>64</w:t>
            </w:r>
          </w:p>
        </w:tc>
        <w:tc>
          <w:tcPr>
            <w:tcW w:w="181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right"/>
            </w:pPr>
            <w:r>
              <w:t>19</w:t>
            </w:r>
          </w:p>
        </w:tc>
      </w:tr>
      <w:tr w:rsidR="00743505">
        <w:trPr>
          <w:trHeight w:val="480"/>
        </w:trPr>
        <w:tc>
          <w:tcPr>
            <w:tcW w:w="601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left"/>
            </w:pPr>
            <w:r>
              <w:t>Департамент економічної політики</w:t>
            </w:r>
          </w:p>
        </w:tc>
        <w:tc>
          <w:tcPr>
            <w:tcW w:w="1500"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right"/>
            </w:pPr>
            <w:r>
              <w:t>73</w:t>
            </w:r>
          </w:p>
        </w:tc>
        <w:tc>
          <w:tcPr>
            <w:tcW w:w="181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right"/>
            </w:pPr>
            <w:r>
              <w:t>39</w:t>
            </w:r>
          </w:p>
        </w:tc>
      </w:tr>
      <w:tr w:rsidR="00743505">
        <w:trPr>
          <w:trHeight w:val="495"/>
        </w:trPr>
        <w:tc>
          <w:tcPr>
            <w:tcW w:w="601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left"/>
            </w:pPr>
            <w:r>
              <w:t>Департамент екології та природних ресурсів</w:t>
            </w:r>
          </w:p>
        </w:tc>
        <w:tc>
          <w:tcPr>
            <w:tcW w:w="1500"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right"/>
            </w:pPr>
            <w:r>
              <w:t>71</w:t>
            </w:r>
          </w:p>
        </w:tc>
        <w:tc>
          <w:tcPr>
            <w:tcW w:w="181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right"/>
            </w:pPr>
            <w:r>
              <w:t>21</w:t>
            </w:r>
          </w:p>
        </w:tc>
      </w:tr>
      <w:tr w:rsidR="00743505">
        <w:trPr>
          <w:trHeight w:val="660"/>
        </w:trPr>
        <w:tc>
          <w:tcPr>
            <w:tcW w:w="601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left"/>
            </w:pPr>
            <w:r>
              <w:t>Департамент з питань культури, національностей та релігій</w:t>
            </w:r>
          </w:p>
        </w:tc>
        <w:tc>
          <w:tcPr>
            <w:tcW w:w="1500"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right"/>
            </w:pPr>
            <w:r>
              <w:t>51</w:t>
            </w:r>
          </w:p>
        </w:tc>
        <w:tc>
          <w:tcPr>
            <w:tcW w:w="181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right"/>
            </w:pPr>
            <w:r>
              <w:t>22</w:t>
            </w:r>
          </w:p>
        </w:tc>
      </w:tr>
      <w:tr w:rsidR="00743505">
        <w:trPr>
          <w:trHeight w:val="435"/>
        </w:trPr>
        <w:tc>
          <w:tcPr>
            <w:tcW w:w="601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left"/>
            </w:pPr>
            <w:r>
              <w:t>Департамент дорожнього господарства</w:t>
            </w:r>
          </w:p>
        </w:tc>
        <w:tc>
          <w:tcPr>
            <w:tcW w:w="1500"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right"/>
            </w:pPr>
            <w:r>
              <w:t>121</w:t>
            </w:r>
          </w:p>
        </w:tc>
        <w:tc>
          <w:tcPr>
            <w:tcW w:w="181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right"/>
            </w:pPr>
            <w:r>
              <w:t>32</w:t>
            </w:r>
          </w:p>
        </w:tc>
      </w:tr>
      <w:tr w:rsidR="00743505">
        <w:trPr>
          <w:trHeight w:val="450"/>
        </w:trPr>
        <w:tc>
          <w:tcPr>
            <w:tcW w:w="601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left"/>
            </w:pPr>
            <w:r>
              <w:t>Державний архів Львівської області</w:t>
            </w:r>
          </w:p>
        </w:tc>
        <w:tc>
          <w:tcPr>
            <w:tcW w:w="1500"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right"/>
            </w:pPr>
            <w:r>
              <w:t>51</w:t>
            </w:r>
          </w:p>
        </w:tc>
        <w:tc>
          <w:tcPr>
            <w:tcW w:w="181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right"/>
            </w:pPr>
            <w:r>
              <w:t>22</w:t>
            </w:r>
          </w:p>
        </w:tc>
      </w:tr>
      <w:tr w:rsidR="00743505">
        <w:trPr>
          <w:trHeight w:val="540"/>
        </w:trPr>
        <w:tc>
          <w:tcPr>
            <w:tcW w:w="601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left"/>
            </w:pPr>
            <w:r>
              <w:t>Департамент комунікацій та внутрішньої політики</w:t>
            </w:r>
          </w:p>
        </w:tc>
        <w:tc>
          <w:tcPr>
            <w:tcW w:w="1500"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right"/>
            </w:pPr>
            <w:r>
              <w:t>45</w:t>
            </w:r>
          </w:p>
        </w:tc>
        <w:tc>
          <w:tcPr>
            <w:tcW w:w="181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right"/>
            </w:pPr>
            <w:r>
              <w:t>13</w:t>
            </w:r>
          </w:p>
        </w:tc>
      </w:tr>
      <w:tr w:rsidR="00743505">
        <w:trPr>
          <w:trHeight w:val="495"/>
        </w:trPr>
        <w:tc>
          <w:tcPr>
            <w:tcW w:w="601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left"/>
            </w:pPr>
            <w:r>
              <w:t>Департамент з питань цивільного захисту</w:t>
            </w:r>
          </w:p>
        </w:tc>
        <w:tc>
          <w:tcPr>
            <w:tcW w:w="1500"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right"/>
            </w:pPr>
            <w:r>
              <w:t>38</w:t>
            </w:r>
          </w:p>
        </w:tc>
        <w:tc>
          <w:tcPr>
            <w:tcW w:w="181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right"/>
            </w:pPr>
            <w:r>
              <w:t>20</w:t>
            </w:r>
          </w:p>
        </w:tc>
      </w:tr>
      <w:tr w:rsidR="00743505">
        <w:trPr>
          <w:trHeight w:val="510"/>
        </w:trPr>
        <w:tc>
          <w:tcPr>
            <w:tcW w:w="601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left"/>
            </w:pPr>
            <w:r>
              <w:lastRenderedPageBreak/>
              <w:t>Департамент спорту, молоді та туризму</w:t>
            </w:r>
          </w:p>
        </w:tc>
        <w:tc>
          <w:tcPr>
            <w:tcW w:w="1500"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right"/>
            </w:pPr>
            <w:r>
              <w:t>51</w:t>
            </w:r>
          </w:p>
        </w:tc>
        <w:tc>
          <w:tcPr>
            <w:tcW w:w="181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right"/>
            </w:pPr>
            <w:r>
              <w:t>18</w:t>
            </w:r>
          </w:p>
        </w:tc>
      </w:tr>
      <w:tr w:rsidR="00743505">
        <w:trPr>
          <w:trHeight w:val="270"/>
        </w:trPr>
        <w:tc>
          <w:tcPr>
            <w:tcW w:w="601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left"/>
            </w:pPr>
            <w:r>
              <w:t>Департамент міжнародного співробітництва</w:t>
            </w:r>
          </w:p>
        </w:tc>
        <w:tc>
          <w:tcPr>
            <w:tcW w:w="1500"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right"/>
            </w:pPr>
            <w:r>
              <w:t>36</w:t>
            </w:r>
          </w:p>
        </w:tc>
        <w:tc>
          <w:tcPr>
            <w:tcW w:w="181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right"/>
            </w:pPr>
            <w:r>
              <w:t>12</w:t>
            </w:r>
          </w:p>
        </w:tc>
      </w:tr>
      <w:tr w:rsidR="00743505">
        <w:trPr>
          <w:trHeight w:val="525"/>
        </w:trPr>
        <w:tc>
          <w:tcPr>
            <w:tcW w:w="601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left"/>
            </w:pPr>
            <w:r>
              <w:t>Служба у справах дітей</w:t>
            </w:r>
          </w:p>
        </w:tc>
        <w:tc>
          <w:tcPr>
            <w:tcW w:w="1500"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right"/>
            </w:pPr>
            <w:r>
              <w:t>28</w:t>
            </w:r>
          </w:p>
        </w:tc>
        <w:tc>
          <w:tcPr>
            <w:tcW w:w="181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right"/>
            </w:pPr>
            <w:r>
              <w:t>10</w:t>
            </w:r>
          </w:p>
        </w:tc>
      </w:tr>
      <w:tr w:rsidR="00743505">
        <w:trPr>
          <w:trHeight w:val="420"/>
        </w:trPr>
        <w:tc>
          <w:tcPr>
            <w:tcW w:w="601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left"/>
            </w:pPr>
            <w:r>
              <w:t>Управління з питань цифрового розвитку</w:t>
            </w:r>
          </w:p>
        </w:tc>
        <w:tc>
          <w:tcPr>
            <w:tcW w:w="1500"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right"/>
            </w:pPr>
            <w:r>
              <w:t>24</w:t>
            </w:r>
          </w:p>
        </w:tc>
        <w:tc>
          <w:tcPr>
            <w:tcW w:w="181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right"/>
            </w:pPr>
            <w:r>
              <w:t>9</w:t>
            </w:r>
          </w:p>
        </w:tc>
      </w:tr>
      <w:tr w:rsidR="00743505">
        <w:trPr>
          <w:trHeight w:val="360"/>
        </w:trPr>
        <w:tc>
          <w:tcPr>
            <w:tcW w:w="601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left"/>
            </w:pPr>
            <w:r>
              <w:t>Управління з питань ветеранської політики</w:t>
            </w:r>
          </w:p>
        </w:tc>
        <w:tc>
          <w:tcPr>
            <w:tcW w:w="1500"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right"/>
            </w:pPr>
            <w:r>
              <w:t>24</w:t>
            </w:r>
          </w:p>
        </w:tc>
        <w:tc>
          <w:tcPr>
            <w:tcW w:w="181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right"/>
            </w:pPr>
            <w:r>
              <w:t>7</w:t>
            </w:r>
          </w:p>
        </w:tc>
      </w:tr>
      <w:tr w:rsidR="00743505">
        <w:trPr>
          <w:trHeight w:val="105"/>
        </w:trPr>
        <w:tc>
          <w:tcPr>
            <w:tcW w:w="601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left"/>
            </w:pPr>
            <w:r>
              <w:t>Управління капітального будівництва</w:t>
            </w:r>
          </w:p>
        </w:tc>
        <w:tc>
          <w:tcPr>
            <w:tcW w:w="1500"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right"/>
            </w:pPr>
            <w:r>
              <w:t>16</w:t>
            </w:r>
          </w:p>
        </w:tc>
        <w:tc>
          <w:tcPr>
            <w:tcW w:w="181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743505" w:rsidRDefault="00BD3770">
            <w:pPr>
              <w:widowControl w:val="0"/>
              <w:spacing w:after="0"/>
              <w:jc w:val="right"/>
            </w:pPr>
            <w:r>
              <w:t>9</w:t>
            </w:r>
          </w:p>
        </w:tc>
      </w:tr>
    </w:tbl>
    <w:p w:rsidR="00743505" w:rsidRDefault="00743505"/>
    <w:p w:rsidR="00743505" w:rsidRDefault="00BD3770">
      <w:r>
        <w:t>За результатами аналізу анкет віддаленого інформаційного аудиту для тих структурних підрозділів, в яких не проводився очний інформаційний аудит (</w:t>
      </w:r>
      <w:proofErr w:type="spellStart"/>
      <w:r>
        <w:t>інтервʼювання</w:t>
      </w:r>
      <w:proofErr w:type="spellEnd"/>
      <w:r>
        <w:t xml:space="preserve"> посадових осіб), були підготовлені рекомендації до оприлюднення публічної інформації у формі відкритих даних. Перед оприлюдненням необхідно провести додаткові дослідження нормативно-правової бази формування тієї чи іншої інформації та застосувати трискладовий тест. За результатами визначити можливість оприлюднення цієї інформації та форму для оприлюднення:</w:t>
      </w:r>
    </w:p>
    <w:p w:rsidR="00743505" w:rsidRDefault="00743505">
      <w:pPr>
        <w:rPr>
          <w:color w:val="FF0000"/>
        </w:rPr>
      </w:pPr>
    </w:p>
    <w:p w:rsidR="00743505" w:rsidRDefault="00BD3770">
      <w:pPr>
        <w:rPr>
          <w:color w:val="4A86E8"/>
          <w:sz w:val="30"/>
          <w:szCs w:val="30"/>
        </w:rPr>
      </w:pPr>
      <w:r>
        <w:rPr>
          <w:color w:val="4A86E8"/>
          <w:sz w:val="30"/>
          <w:szCs w:val="30"/>
        </w:rPr>
        <w:t xml:space="preserve">Аналіз анкет за типами даних: </w:t>
      </w:r>
    </w:p>
    <w:p w:rsidR="00743505" w:rsidRDefault="00BD3770">
      <w:pPr>
        <w:rPr>
          <w:color w:val="4A86E8"/>
        </w:rPr>
      </w:pPr>
      <w:r>
        <w:rPr>
          <w:color w:val="4A86E8"/>
        </w:rPr>
        <w:t>Розподіл анкет за типами даних 2023 рік</w:t>
      </w:r>
    </w:p>
    <w:p w:rsidR="00743505" w:rsidRDefault="00BD3770">
      <w:pPr>
        <w:rPr>
          <w:color w:val="FF0000"/>
        </w:rPr>
      </w:pPr>
      <w:r>
        <w:rPr>
          <w:noProof/>
          <w:color w:val="FF0000"/>
          <w:lang w:val="en-US"/>
        </w:rPr>
        <w:drawing>
          <wp:inline distT="114300" distB="114300" distL="114300" distR="114300">
            <wp:extent cx="6124575" cy="374002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8"/>
                    <a:srcRect b="1094"/>
                    <a:stretch>
                      <a:fillRect/>
                    </a:stretch>
                  </pic:blipFill>
                  <pic:spPr>
                    <a:xfrm>
                      <a:off x="0" y="0"/>
                      <a:ext cx="6124575" cy="3740028"/>
                    </a:xfrm>
                    <a:prstGeom prst="rect">
                      <a:avLst/>
                    </a:prstGeom>
                    <a:ln/>
                  </pic:spPr>
                </pic:pic>
              </a:graphicData>
            </a:graphic>
          </wp:inline>
        </w:drawing>
      </w:r>
    </w:p>
    <w:p w:rsidR="00743505" w:rsidRDefault="00743505">
      <w:pPr>
        <w:rPr>
          <w:color w:val="FF0000"/>
        </w:rPr>
      </w:pPr>
    </w:p>
    <w:p w:rsidR="00743505" w:rsidRDefault="00743505">
      <w:pPr>
        <w:rPr>
          <w:color w:val="FF0000"/>
        </w:rPr>
      </w:pPr>
    </w:p>
    <w:p w:rsidR="00743505" w:rsidRDefault="00743505">
      <w:pPr>
        <w:rPr>
          <w:color w:val="FF0000"/>
        </w:rPr>
      </w:pPr>
    </w:p>
    <w:p w:rsidR="00743505" w:rsidRDefault="00743505">
      <w:pPr>
        <w:rPr>
          <w:color w:val="FF0000"/>
        </w:rPr>
      </w:pPr>
    </w:p>
    <w:p w:rsidR="00743505" w:rsidRDefault="00743505">
      <w:pPr>
        <w:rPr>
          <w:color w:val="FF0000"/>
        </w:rPr>
      </w:pPr>
    </w:p>
    <w:p w:rsidR="00743505" w:rsidRDefault="00743505">
      <w:pPr>
        <w:rPr>
          <w:color w:val="4A86E8"/>
        </w:rPr>
      </w:pPr>
    </w:p>
    <w:p w:rsidR="00743505" w:rsidRDefault="00BD3770">
      <w:pPr>
        <w:rPr>
          <w:color w:val="4A86E8"/>
        </w:rPr>
      </w:pPr>
      <w:r>
        <w:rPr>
          <w:color w:val="4A86E8"/>
        </w:rPr>
        <w:t>Розподіл анкет за типами даних 2025 рік</w:t>
      </w:r>
    </w:p>
    <w:p w:rsidR="00743505" w:rsidRDefault="00BD3770">
      <w:pPr>
        <w:rPr>
          <w:color w:val="FF0000"/>
        </w:rPr>
      </w:pPr>
      <w:r>
        <w:rPr>
          <w:noProof/>
          <w:color w:val="FF0000"/>
          <w:lang w:val="en-US"/>
        </w:rPr>
        <w:drawing>
          <wp:inline distT="114300" distB="114300" distL="114300" distR="114300">
            <wp:extent cx="6229350" cy="2952911"/>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9"/>
                    <a:srcRect b="1581"/>
                    <a:stretch>
                      <a:fillRect/>
                    </a:stretch>
                  </pic:blipFill>
                  <pic:spPr>
                    <a:xfrm>
                      <a:off x="0" y="0"/>
                      <a:ext cx="6229350" cy="2952911"/>
                    </a:xfrm>
                    <a:prstGeom prst="rect">
                      <a:avLst/>
                    </a:prstGeom>
                    <a:ln/>
                  </pic:spPr>
                </pic:pic>
              </a:graphicData>
            </a:graphic>
          </wp:inline>
        </w:drawing>
      </w:r>
    </w:p>
    <w:p w:rsidR="00743505" w:rsidRDefault="00743505">
      <w:pPr>
        <w:rPr>
          <w:color w:val="FF0000"/>
        </w:rPr>
      </w:pPr>
    </w:p>
    <w:p w:rsidR="00743505" w:rsidRDefault="00BD3770">
      <w:r>
        <w:t>Порівняльний аналіз анкет, заповнених у 2023 та 2025 роках, засвідчив відчутні зміни у структурі типів даних, що використовуються структурними підрозділами. Якщо під час першого анкетування у 2023 році переважали паперові документи, їхня частка становила 40,8% від загальної кількості одиниць інформації, то вже у 2025 році цей показник знизився до 37,6%. Це означає, що структурні підрозділи поступово відмовляються від паперового документообігу на користь сучасних цифрових форматів.</w:t>
      </w:r>
    </w:p>
    <w:p w:rsidR="00743505" w:rsidRDefault="00BD3770">
      <w:r>
        <w:t>Паралельно спостерігається зростання ролі електронних документів: їхня частка збільшилася з 25,3% у 2023 році до 31% у 2025 році. Така динаміка демонструє не лише підвищення зручності та доступності цифрових форматів, але й більшу довіру до електронних рішень як до повноцінного інструменту управління інформацією.</w:t>
      </w:r>
    </w:p>
    <w:p w:rsidR="00743505" w:rsidRDefault="00BD3770">
      <w:r>
        <w:t>Ще одна важлива тенденція — активніше використання спеціалізованого програмного забезпечення для обробки даних. Якщо у 2023 році воно охоплювало лише 10,1% від загальної кількості зафіксованих одиниць інформації, то у 2025 році цей показник зріс до 13%. Зростання хоч і не є стрімким, проте вказує на поступове впровадження більш професійних систем роботи з даними, які забезпечують не лише зберігання, але й аналітику, інтеграцію та захист інформації.</w:t>
      </w:r>
    </w:p>
    <w:p w:rsidR="00743505" w:rsidRDefault="00BD3770">
      <w:r>
        <w:lastRenderedPageBreak/>
        <w:t xml:space="preserve">Таким чином, результати порівняння демонструють позитивну динаміку </w:t>
      </w:r>
      <w:proofErr w:type="spellStart"/>
      <w:r>
        <w:t>цифровізації</w:t>
      </w:r>
      <w:proofErr w:type="spellEnd"/>
      <w:r>
        <w:t>: частка традиційного паперового документообігу скорочується, а електронні формати та спеціалізовані цифрові інструменти стають дедалі важливішою складовою процесів управління даними у структурних підрозділах. Це свідчить про підвищення рівня їхньої зрілості у сфері цифрової трансформації та поступовий перехід до сучасних моделей роботи з інформацією.</w:t>
      </w:r>
    </w:p>
    <w:p w:rsidR="00743505" w:rsidRDefault="00743505">
      <w:pPr>
        <w:rPr>
          <w:color w:val="FF0000"/>
        </w:rPr>
      </w:pPr>
    </w:p>
    <w:p w:rsidR="00743505" w:rsidRDefault="00743505">
      <w:pPr>
        <w:rPr>
          <w:color w:val="FF0000"/>
        </w:rPr>
      </w:pPr>
    </w:p>
    <w:p w:rsidR="00743505" w:rsidRDefault="00BD3770">
      <w:pPr>
        <w:pStyle w:val="2"/>
      </w:pPr>
      <w:bookmarkStart w:id="16" w:name="_ql2gta53lyju" w:colFirst="0" w:colLast="0"/>
      <w:bookmarkEnd w:id="16"/>
      <w:r>
        <w:t>Результати проведеного очного інформаційного аудиту</w:t>
      </w:r>
    </w:p>
    <w:p w:rsidR="00743505" w:rsidRDefault="00BD3770">
      <w:pPr>
        <w:pStyle w:val="3"/>
        <w:ind w:right="-7"/>
        <w:rPr>
          <w:color w:val="000000"/>
        </w:rPr>
      </w:pPr>
      <w:bookmarkStart w:id="17" w:name="_hzixulbkk6p0" w:colFirst="0" w:colLast="0"/>
      <w:bookmarkEnd w:id="17"/>
      <w:r>
        <w:rPr>
          <w:color w:val="000000"/>
        </w:rPr>
        <w:t>Департамент дорожнього господарства</w:t>
      </w:r>
    </w:p>
    <w:p w:rsidR="00743505" w:rsidRDefault="00BD3770">
      <w:pPr>
        <w:ind w:right="-7"/>
      </w:pPr>
      <w:r>
        <w:t>Адреса: 79026, м. Львів, вул. Винниченка 18,</w:t>
      </w:r>
    </w:p>
    <w:p w:rsidR="00743505" w:rsidRDefault="00BD3770">
      <w:pPr>
        <w:ind w:right="-7"/>
      </w:pPr>
      <w:r>
        <w:t xml:space="preserve">Кількість посадових осіб: 36. </w:t>
      </w:r>
    </w:p>
    <w:p w:rsidR="00743505" w:rsidRDefault="00BD3770">
      <w:pPr>
        <w:ind w:right="-7"/>
      </w:pPr>
      <w:r>
        <w:t>Департамент дорожнього господарства Львівської обласної державної адміністрації є структурним підрозділом обласної державної адміністрації, утворюється розпорядженням голови обласної державної адміністрації та забезпечує виконання покладених на нього завдань. Департамент підпорядкований голові обласної державної адміністрації, а також підзвітний і підконтрольний Міністерству інфраструктури України.</w:t>
      </w:r>
    </w:p>
    <w:p w:rsidR="00743505" w:rsidRDefault="00BD3770">
      <w:pPr>
        <w:ind w:right="-7"/>
      </w:pPr>
      <w:r>
        <w:t xml:space="preserve">Департамент у своїй діяльності керується Конституцією та законами України, актами Президента України і Кабінету Міністрів України, наказами </w:t>
      </w:r>
      <w:proofErr w:type="spellStart"/>
      <w:r>
        <w:t>Мінінфраструктури</w:t>
      </w:r>
      <w:proofErr w:type="spellEnd"/>
      <w:r>
        <w:t xml:space="preserve"> та інших міністерств, розпорядженнями голови обласної державної адміністрації, іншими нормативно-правовими актами, а також цим Положенням.</w:t>
      </w:r>
    </w:p>
    <w:p w:rsidR="00743505" w:rsidRDefault="00BD3770">
      <w:pPr>
        <w:ind w:right="-7"/>
      </w:pPr>
      <w:r>
        <w:t>Департамент координує діяльність територіальних органів міністерств та інших центральних органів виконавчої влади у сфері дорожнього господарства та сприяє у виконанні завдань і функцій, які покладені на них.</w:t>
      </w:r>
    </w:p>
    <w:p w:rsidR="00743505" w:rsidRDefault="00BD3770">
      <w:pPr>
        <w:ind w:right="-7"/>
      </w:pPr>
      <w:r>
        <w:t>Основними завданнями Департаменту є реалізація державної політики в галузі дорожнього господарства.</w:t>
      </w:r>
    </w:p>
    <w:p w:rsidR="00743505" w:rsidRDefault="00BD3770">
      <w:pPr>
        <w:ind w:right="-7"/>
        <w:rPr>
          <w:b/>
        </w:rPr>
      </w:pPr>
      <w:r>
        <w:rPr>
          <w:b/>
        </w:rPr>
        <w:t>Перелік наборів відкритих даних обов'язкових до оприлюднення відповідно до Постанови №835</w:t>
      </w:r>
    </w:p>
    <w:p w:rsidR="00743505" w:rsidRDefault="00BD3770">
      <w:pPr>
        <w:ind w:right="-7"/>
      </w:pPr>
      <w:r>
        <w:t xml:space="preserve">Відповідно до Постанови Кабінету Міністрів України №835 «Про затвердження Положення про набори даних, які підлягають оприлюдненню у формі відкритих даних»  від 21 жовтня 2015 року, департамент є розпорядником публічної інформації із розділу «Всі розпорядники інформації»: “Довідник підприємств….”, “Інформація про структуру розпорядника інформації”, “Реєстр наборів даних …” , “Адміністративні дані …”, “Переліки нормативно-правових актів….”, “Переліки регуляторних актів….”, “План діяльності з підготовки проектів регуляторних актів ….”, “Інформація про нормативно-правові засади діяльності …”, “Інформація про отримане майно….” , “Інформація із системи обліку публічної інформації”. </w:t>
      </w:r>
    </w:p>
    <w:p w:rsidR="00743505" w:rsidRDefault="00743505">
      <w:pPr>
        <w:ind w:right="-7"/>
        <w:rPr>
          <w:b/>
          <w:color w:val="FF0000"/>
        </w:rPr>
      </w:pPr>
    </w:p>
    <w:p w:rsidR="00743505" w:rsidRDefault="00743505">
      <w:pPr>
        <w:ind w:right="-7"/>
        <w:rPr>
          <w:b/>
          <w:color w:val="FF0000"/>
        </w:rPr>
      </w:pPr>
    </w:p>
    <w:p w:rsidR="00743505" w:rsidRDefault="00743505">
      <w:pPr>
        <w:ind w:right="-7"/>
        <w:rPr>
          <w:b/>
          <w:color w:val="FF0000"/>
        </w:rPr>
      </w:pPr>
    </w:p>
    <w:p w:rsidR="00743505" w:rsidRDefault="00743505">
      <w:pPr>
        <w:ind w:right="-7"/>
        <w:rPr>
          <w:b/>
          <w:color w:val="FF0000"/>
        </w:rPr>
      </w:pPr>
    </w:p>
    <w:p w:rsidR="00743505" w:rsidRDefault="00BD3770">
      <w:pPr>
        <w:ind w:right="-7"/>
        <w:rPr>
          <w:b/>
        </w:rPr>
      </w:pPr>
      <w:r>
        <w:rPr>
          <w:b/>
        </w:rPr>
        <w:t>Перелік наборів відкритих даних обов'язкових до оприлюднення відповідно внутрішніх розпорядчих документів</w:t>
      </w:r>
    </w:p>
    <w:p w:rsidR="00743505" w:rsidRDefault="00BD3770">
      <w:pPr>
        <w:spacing w:after="0"/>
        <w:ind w:right="-7"/>
      </w:pPr>
      <w:r>
        <w:t>Відповідно до Розпорядження Начальника ЛОВА від 11.11.2022 № 571/0/5-22ВА на місцевому порталі відкритих даних Львівщини Департаментом оприлюднюються наступні набори даних:</w:t>
      </w:r>
    </w:p>
    <w:p w:rsidR="00743505" w:rsidRDefault="00BD3770">
      <w:pPr>
        <w:numPr>
          <w:ilvl w:val="0"/>
          <w:numId w:val="4"/>
        </w:numPr>
        <w:spacing w:after="0"/>
        <w:ind w:right="-7"/>
      </w:pPr>
      <w:r>
        <w:t>Дані щодо перевізників, які виконують маршрутні пасажирські автоперевезення за видами сполучення;</w:t>
      </w:r>
    </w:p>
    <w:p w:rsidR="00743505" w:rsidRDefault="00BD3770">
      <w:pPr>
        <w:numPr>
          <w:ilvl w:val="0"/>
          <w:numId w:val="4"/>
        </w:numPr>
        <w:spacing w:after="0"/>
        <w:ind w:right="-7"/>
      </w:pPr>
      <w:r>
        <w:t>Перелік об’єктів будівництва, реконструкції та ремонту автомобільних доріг загального користування місцевого значення Львівської області відповідно до стандарту OC4IDS;</w:t>
      </w:r>
    </w:p>
    <w:p w:rsidR="00743505" w:rsidRDefault="00BD3770">
      <w:pPr>
        <w:numPr>
          <w:ilvl w:val="0"/>
          <w:numId w:val="4"/>
        </w:numPr>
        <w:spacing w:after="0"/>
        <w:ind w:right="-7"/>
      </w:pPr>
      <w:r>
        <w:t>Перелік автомобільних доріг загального користування місцевого значення Львівської області;</w:t>
      </w:r>
    </w:p>
    <w:p w:rsidR="00743505" w:rsidRDefault="00BD3770">
      <w:pPr>
        <w:numPr>
          <w:ilvl w:val="0"/>
          <w:numId w:val="4"/>
        </w:numPr>
        <w:spacing w:after="0"/>
        <w:ind w:right="-7"/>
      </w:pPr>
      <w:r>
        <w:t>Протяжність доріг обласного значення;</w:t>
      </w:r>
    </w:p>
    <w:p w:rsidR="00743505" w:rsidRDefault="00BD3770">
      <w:pPr>
        <w:numPr>
          <w:ilvl w:val="0"/>
          <w:numId w:val="4"/>
        </w:numPr>
        <w:spacing w:after="0"/>
        <w:ind w:right="-7"/>
      </w:pPr>
      <w:r>
        <w:t>Протяжність доріг районного значення;</w:t>
      </w:r>
    </w:p>
    <w:p w:rsidR="00743505" w:rsidRDefault="00743505">
      <w:pPr>
        <w:spacing w:after="0"/>
        <w:ind w:right="-7"/>
        <w:rPr>
          <w:color w:val="4A86E8"/>
        </w:rPr>
      </w:pPr>
    </w:p>
    <w:p w:rsidR="00743505" w:rsidRDefault="00BD3770">
      <w:pPr>
        <w:spacing w:after="0"/>
        <w:ind w:right="-7"/>
      </w:pPr>
      <w:r>
        <w:t xml:space="preserve">Більшість наборів відкритих даних є ініціативними (не </w:t>
      </w:r>
      <w:proofErr w:type="spellStart"/>
      <w:r>
        <w:t>обовʼязковими</w:t>
      </w:r>
      <w:proofErr w:type="spellEnd"/>
      <w:r>
        <w:t xml:space="preserve"> до оприлюднення відповідно до Переліку затвердженого Постановою Кабінету Міністрів України №835), проте ці набори внесені у внутрішні нормативно правові акти ЛОВА, визначені посадові особи відповідальні за оприлюднення у структурних підрозділах ЛОВА.</w:t>
      </w:r>
    </w:p>
    <w:p w:rsidR="00743505" w:rsidRDefault="00743505">
      <w:pPr>
        <w:spacing w:after="0"/>
        <w:ind w:left="720" w:right="-7"/>
      </w:pPr>
    </w:p>
    <w:p w:rsidR="00743505" w:rsidRDefault="00BD3770">
      <w:pPr>
        <w:spacing w:after="0"/>
        <w:ind w:right="-7"/>
      </w:pPr>
      <w:r>
        <w:rPr>
          <w:b/>
        </w:rPr>
        <w:t>Загалом рекомендовано</w:t>
      </w:r>
      <w:r>
        <w:t xml:space="preserve">: </w:t>
      </w:r>
    </w:p>
    <w:p w:rsidR="00743505" w:rsidRDefault="00BD3770">
      <w:pPr>
        <w:numPr>
          <w:ilvl w:val="0"/>
          <w:numId w:val="20"/>
        </w:numPr>
        <w:spacing w:after="0"/>
        <w:ind w:right="-7"/>
      </w:pPr>
      <w:r>
        <w:t>привести у відповідність до найновіших рекомендацій Міністерства цифрової трансформації набори даних: Дані щодо перевізників, які виконують маршрутні пасажирські автоперевезення за видами сполучення, Перелік об’єктів будівництва, реконструкції та ремонту автомобільних доріг загального користування місцевого значення Львівської області відповідно до стандарту OC4IDS, Перелік автомобільних доріг загального користування місцевого значення Львівської області.</w:t>
      </w:r>
    </w:p>
    <w:p w:rsidR="00743505" w:rsidRDefault="00BD3770">
      <w:pPr>
        <w:numPr>
          <w:ilvl w:val="0"/>
          <w:numId w:val="20"/>
        </w:numPr>
        <w:spacing w:after="0"/>
        <w:ind w:right="-7"/>
      </w:pPr>
      <w:r>
        <w:t xml:space="preserve">розглянути доцільність завіряти паперові екземпляри актів виконаних робіт штампом структурного підрозділу Державної казначейської служби України, оскільки це веде до </w:t>
      </w:r>
      <w:proofErr w:type="spellStart"/>
      <w:r>
        <w:t>задвоєння</w:t>
      </w:r>
      <w:proofErr w:type="spellEnd"/>
      <w:r>
        <w:t xml:space="preserve"> документообігу та створює додаткове навантаження на працівників департаменту.</w:t>
      </w:r>
    </w:p>
    <w:p w:rsidR="00743505" w:rsidRDefault="00BD3770">
      <w:pPr>
        <w:numPr>
          <w:ilvl w:val="0"/>
          <w:numId w:val="20"/>
        </w:numPr>
        <w:spacing w:after="0"/>
        <w:ind w:right="-7"/>
      </w:pPr>
      <w:r>
        <w:t>працівниками департаменту на паперових носіях ведеться реєстр дозволів на розміщення реклами за межами населених пунктів вздовж доріг. Під час воєнного стану дозволи не видаються. Рекомендується перевести реєстр в електронний вигляд та оприлюднити після завершення воєнного стану, оскільки інформація є суспільно важливою та посилює громадський контроль.</w:t>
      </w:r>
    </w:p>
    <w:p w:rsidR="00743505" w:rsidRDefault="00BD3770">
      <w:pPr>
        <w:numPr>
          <w:ilvl w:val="0"/>
          <w:numId w:val="20"/>
        </w:numPr>
        <w:spacing w:after="0"/>
        <w:ind w:right="-7"/>
      </w:pPr>
      <w:r>
        <w:t xml:space="preserve">при проведенні конкурсу з перевезення пасажирів на автобусному маршруті загального користування, який регламентується Закон України “Про автомобільний транспорт” та </w:t>
      </w:r>
      <w:r>
        <w:lastRenderedPageBreak/>
        <w:t xml:space="preserve">Постановою Кабінету Міністрів України від 3 грудня 2008 р. № 1081 від перевізників приймається велика кількість документів для участі в конкурсі в паперовій формі (близько 400 конвертів з пакетами документів), що ускладнює обробку та зберігання документів, оскільки потребує додаткової площі та умов для зберігання паперових документів. Рекомендується звернутись до Кабінету Міністрів України з пропозицією </w:t>
      </w:r>
      <w:proofErr w:type="spellStart"/>
      <w:r>
        <w:t>внести</w:t>
      </w:r>
      <w:proofErr w:type="spellEnd"/>
      <w:r>
        <w:t xml:space="preserve"> зміни до Постанови Кабінету Міністрів України від 3 грудня 2008 р. № 1081 “Про затвердження Порядку проведення конкурсу з перевезення пасажирів на автобусному маршруті загального користування” та розробити сервіс для подачі документів, проведення конкурсів та публікації їх результатів в електронному вигляді. Це значно спростить обробку документів та збільшить прозорість проведення конкурсів з перевезення пасажирів.</w:t>
      </w:r>
    </w:p>
    <w:p w:rsidR="00743505" w:rsidRDefault="00BD3770">
      <w:pPr>
        <w:numPr>
          <w:ilvl w:val="0"/>
          <w:numId w:val="20"/>
        </w:numPr>
        <w:spacing w:after="0"/>
        <w:ind w:right="-7"/>
      </w:pPr>
      <w:r>
        <w:t xml:space="preserve">паспорти автобусних маршрутів виготовляються та зберігаються на паперових носіях містять суспільно важливу інформацію </w:t>
      </w:r>
      <w:r>
        <w:rPr>
          <w:highlight w:val="white"/>
        </w:rPr>
        <w:t xml:space="preserve">таку як: схему маршруту, розклад руху, таблицю вартості проїзду, графіки режимів праці та відпочинку водіїв тощо. Відсутність інформації в електронному вигляді ускладнює її оприлюднення. Виготовлення та подача паспортів в електронному вигляді значно полегшили б обробку, систематизацію та публікацію даних. На поточний ведеться робота по наповненню вказаними даними “Реєстру приміських та міжміських автобусних маршрутів” Державної служба України з безпеки на транспорті силами співробітників департаменту дорожнього господарства. </w:t>
      </w:r>
    </w:p>
    <w:p w:rsidR="00743505" w:rsidRDefault="00BD3770">
      <w:pPr>
        <w:numPr>
          <w:ilvl w:val="0"/>
          <w:numId w:val="20"/>
        </w:numPr>
        <w:spacing w:after="0"/>
        <w:ind w:right="-7"/>
        <w:rPr>
          <w:highlight w:val="white"/>
        </w:rPr>
      </w:pPr>
      <w:r>
        <w:rPr>
          <w:highlight w:val="white"/>
        </w:rPr>
        <w:t>спільно з департаментом архітектури розглянути внесення в ГІС містобудівного кадастру Львівської області інформації про стан доріг загального користування місцевого значення, які знаходяться  на балансі департаменту дорожнього господарства.</w:t>
      </w:r>
    </w:p>
    <w:p w:rsidR="00743505" w:rsidRDefault="00743505">
      <w:pPr>
        <w:spacing w:after="0"/>
        <w:ind w:right="-7"/>
        <w:rPr>
          <w:color w:val="4A86E8"/>
        </w:rPr>
      </w:pPr>
    </w:p>
    <w:p w:rsidR="00743505" w:rsidRDefault="00BD3770">
      <w:pPr>
        <w:pStyle w:val="3"/>
        <w:ind w:right="-7"/>
        <w:rPr>
          <w:color w:val="000000"/>
        </w:rPr>
      </w:pPr>
      <w:bookmarkStart w:id="18" w:name="_lyzxe48wf0fu" w:colFirst="0" w:colLast="0"/>
      <w:bookmarkEnd w:id="18"/>
      <w:r>
        <w:rPr>
          <w:color w:val="000000"/>
        </w:rPr>
        <w:t>Департамент з питань культури, національностей та релігій</w:t>
      </w:r>
    </w:p>
    <w:p w:rsidR="00743505" w:rsidRDefault="00BD3770">
      <w:pPr>
        <w:ind w:right="-7"/>
      </w:pPr>
      <w:r>
        <w:t>Адреса: 79008, Львів, вул. вул. Винниченка, 14</w:t>
      </w:r>
    </w:p>
    <w:p w:rsidR="00743505" w:rsidRDefault="00BD3770">
      <w:pPr>
        <w:ind w:right="-7"/>
      </w:pPr>
      <w:r>
        <w:t xml:space="preserve">Кількість посадових осіб: 26. </w:t>
      </w:r>
    </w:p>
    <w:p w:rsidR="00743505" w:rsidRDefault="00BD3770">
      <w:pPr>
        <w:spacing w:after="0"/>
        <w:ind w:right="-7"/>
      </w:pPr>
      <w:r>
        <w:t xml:space="preserve">Департамент з питань культури, національностей та релігій  є структурним підрозділом обласної державної адміністрації, підпорядкований голові </w:t>
      </w:r>
      <w:proofErr w:type="spellStart"/>
      <w:r>
        <w:t>ОДА,підзвітний</w:t>
      </w:r>
      <w:proofErr w:type="spellEnd"/>
      <w:r>
        <w:t xml:space="preserve"> і підконтрольний Міністерству культури та інформаційної політики України в межах, передбачених чинним законодавством.</w:t>
      </w:r>
    </w:p>
    <w:p w:rsidR="00743505" w:rsidRDefault="00743505">
      <w:pPr>
        <w:spacing w:after="0"/>
        <w:ind w:left="720" w:right="-7"/>
      </w:pPr>
    </w:p>
    <w:p w:rsidR="00743505" w:rsidRDefault="00BD3770">
      <w:pPr>
        <w:spacing w:after="0"/>
        <w:ind w:right="-7"/>
      </w:pPr>
      <w:r>
        <w:t>Основними завданнями Департаменту є:</w:t>
      </w:r>
    </w:p>
    <w:p w:rsidR="00743505" w:rsidRDefault="00743505">
      <w:pPr>
        <w:spacing w:after="0"/>
        <w:ind w:left="720" w:right="-7"/>
      </w:pPr>
    </w:p>
    <w:p w:rsidR="00743505" w:rsidRDefault="00BD3770">
      <w:pPr>
        <w:numPr>
          <w:ilvl w:val="0"/>
          <w:numId w:val="8"/>
        </w:numPr>
        <w:spacing w:after="0"/>
        <w:ind w:right="-7"/>
      </w:pPr>
      <w:r>
        <w:t>Реалізація та організація виконання державної політики у сфері культури, мистецтва та кінематографії, бібліотечної та клубної справи, національної музейної політики, мистецької освіти; здійснення контролю за вивезенням, увезенням і поверненням культурних цінностей через державний кордон України;</w:t>
      </w:r>
    </w:p>
    <w:p w:rsidR="00743505" w:rsidRDefault="00BD3770">
      <w:pPr>
        <w:numPr>
          <w:ilvl w:val="0"/>
          <w:numId w:val="8"/>
        </w:numPr>
        <w:spacing w:after="0"/>
        <w:ind w:right="-7"/>
      </w:pPr>
      <w:r>
        <w:t>Забезпечення функціонування української мови в усіх сферах суспільного життя;</w:t>
      </w:r>
    </w:p>
    <w:p w:rsidR="00743505" w:rsidRDefault="00BD3770">
      <w:pPr>
        <w:numPr>
          <w:ilvl w:val="0"/>
          <w:numId w:val="8"/>
        </w:numPr>
        <w:spacing w:after="0"/>
        <w:ind w:right="-7"/>
      </w:pPr>
      <w:r>
        <w:lastRenderedPageBreak/>
        <w:t>Реалізація державної політики у сфері міжнаціональних відносин, забезпечення прав національних меншин, прав громадян на свободу світогляду та віросповідання;</w:t>
      </w:r>
    </w:p>
    <w:p w:rsidR="00743505" w:rsidRDefault="00BD3770">
      <w:pPr>
        <w:numPr>
          <w:ilvl w:val="0"/>
          <w:numId w:val="8"/>
        </w:numPr>
        <w:spacing w:after="0"/>
        <w:ind w:right="-7"/>
      </w:pPr>
      <w:r>
        <w:t>Здійснення виконавчих та організаційно-розпорядчих функцій щодо функціонування і розвитку сфери культури, мистецтва та кінематографії, бібліотечної та клубної справи, національної музейної політики, мистецької освіти, міжнаціональних і міжконфесійних відносин;</w:t>
      </w:r>
    </w:p>
    <w:p w:rsidR="00743505" w:rsidRDefault="00BD3770">
      <w:pPr>
        <w:numPr>
          <w:ilvl w:val="0"/>
          <w:numId w:val="8"/>
        </w:numPr>
        <w:spacing w:after="0"/>
        <w:ind w:right="-7"/>
      </w:pPr>
      <w:r>
        <w:t>Забезпечення вільного розвитку культурно-мистецьких проектів;</w:t>
      </w:r>
    </w:p>
    <w:p w:rsidR="00743505" w:rsidRDefault="00BD3770">
      <w:pPr>
        <w:numPr>
          <w:ilvl w:val="0"/>
          <w:numId w:val="8"/>
        </w:numPr>
        <w:spacing w:after="0"/>
        <w:ind w:right="-7"/>
      </w:pPr>
      <w:r>
        <w:t>Забезпечення доступності всіх видів культурних послуг і культурної діяльності;</w:t>
      </w:r>
    </w:p>
    <w:p w:rsidR="00743505" w:rsidRDefault="00BD3770">
      <w:pPr>
        <w:numPr>
          <w:ilvl w:val="0"/>
          <w:numId w:val="8"/>
        </w:numPr>
        <w:spacing w:after="0"/>
        <w:ind w:right="-7"/>
      </w:pPr>
      <w:r>
        <w:t>Формування цілісного культурно-інформаційного простору, захисту та просування різноманітного високоякісного національного культурного продукту;</w:t>
      </w:r>
    </w:p>
    <w:p w:rsidR="00743505" w:rsidRDefault="00BD3770">
      <w:pPr>
        <w:numPr>
          <w:ilvl w:val="0"/>
          <w:numId w:val="8"/>
        </w:numPr>
        <w:spacing w:after="0"/>
        <w:ind w:right="-7"/>
      </w:pPr>
      <w:r>
        <w:t>Здійснення міжрегіонального та міжнародного співробітництва з питань культури та мистецтва;</w:t>
      </w:r>
    </w:p>
    <w:p w:rsidR="00743505" w:rsidRDefault="00BD3770">
      <w:pPr>
        <w:numPr>
          <w:ilvl w:val="0"/>
          <w:numId w:val="8"/>
        </w:numPr>
        <w:spacing w:after="0"/>
        <w:ind w:right="-7"/>
      </w:pPr>
      <w:r>
        <w:t xml:space="preserve">Сприяння відродженню та розвитку традицій і культури української нації, етнічної, культурної і </w:t>
      </w:r>
      <w:proofErr w:type="spellStart"/>
      <w:r>
        <w:t>мовної</w:t>
      </w:r>
      <w:proofErr w:type="spellEnd"/>
      <w:r>
        <w:t xml:space="preserve"> самобутності національних меншин;</w:t>
      </w:r>
    </w:p>
    <w:p w:rsidR="00743505" w:rsidRDefault="00BD3770">
      <w:pPr>
        <w:numPr>
          <w:ilvl w:val="0"/>
          <w:numId w:val="8"/>
        </w:numPr>
        <w:spacing w:after="0"/>
        <w:ind w:right="-7"/>
      </w:pPr>
      <w:r>
        <w:t>Гармонізація міжконфесійних та міжнаціональних відносин;</w:t>
      </w:r>
    </w:p>
    <w:p w:rsidR="00743505" w:rsidRDefault="00BD3770">
      <w:pPr>
        <w:numPr>
          <w:ilvl w:val="0"/>
          <w:numId w:val="8"/>
        </w:numPr>
        <w:spacing w:after="0"/>
        <w:ind w:right="-7"/>
      </w:pPr>
      <w:r>
        <w:t>Захист прав творчих працівників та їх спілок, соціальний захист працівників підприємств, установ та організацій у сфері культури;</w:t>
      </w:r>
    </w:p>
    <w:p w:rsidR="00743505" w:rsidRDefault="00BD3770">
      <w:pPr>
        <w:numPr>
          <w:ilvl w:val="0"/>
          <w:numId w:val="8"/>
        </w:numPr>
        <w:spacing w:after="0"/>
        <w:ind w:right="-7"/>
      </w:pPr>
      <w:r>
        <w:t>Розвиток мережі організацій, підприємств та установ культури і мистецтва.</w:t>
      </w:r>
    </w:p>
    <w:p w:rsidR="00743505" w:rsidRDefault="00743505">
      <w:pPr>
        <w:spacing w:after="0"/>
        <w:ind w:left="720" w:right="-7"/>
      </w:pPr>
    </w:p>
    <w:p w:rsidR="00743505" w:rsidRDefault="00BD3770">
      <w:pPr>
        <w:spacing w:after="0"/>
        <w:ind w:right="-7"/>
      </w:pPr>
      <w:r>
        <w:t>Перелік наборів відкритих даних обов'язкових до оприлюднення відповідно до Постанови №835</w:t>
      </w:r>
    </w:p>
    <w:p w:rsidR="00743505" w:rsidRDefault="00BD3770">
      <w:pPr>
        <w:spacing w:after="0"/>
        <w:ind w:right="-7"/>
      </w:pPr>
      <w:r>
        <w:t xml:space="preserve">Відповідно до Постанови Кабінету Міністрів України №835 «Про затвердження Положення про набори даних, які підлягають оприлюдненню у формі відкритих даних»  від 21 жовтня 2015 року. Департамент є розпорядником публічної інформації із розділу «Всі розпорядники інформації»: “Довідник підприємств….”, “Інформація про структуру розпорядника інформації”, “Реєстр наборів даних …” , “Адміністративні дані …”, “Переліки нормативно-правових актів….”, “Переліки регуляторних актів….”, “План діяльності з підготовки проектів регуляторних актів ….”, “Інформація про нормативно-правові засади діяльності …”, “Інформація про отримане майно….” , “Інформація із системи обліку публічної інформації”. </w:t>
      </w:r>
    </w:p>
    <w:p w:rsidR="00743505" w:rsidRDefault="00743505">
      <w:pPr>
        <w:spacing w:after="0"/>
        <w:ind w:left="720" w:right="-7"/>
      </w:pPr>
    </w:p>
    <w:p w:rsidR="00743505" w:rsidRDefault="00BD3770">
      <w:pPr>
        <w:spacing w:after="0"/>
        <w:ind w:right="-7"/>
      </w:pPr>
      <w:r>
        <w:t>Перелік наборів відкритих даних обов'язкових до оприлюднення відповідно внутрішніх розпорядчих документів</w:t>
      </w:r>
    </w:p>
    <w:p w:rsidR="00743505" w:rsidRDefault="00BD3770">
      <w:pPr>
        <w:spacing w:after="0"/>
        <w:ind w:right="-7"/>
      </w:pPr>
      <w:r>
        <w:t>Відповідно до Розпорядження Начальника ЛОВА від 11.11.2022 № 571/0/5-22ВА (зі змінами) на місцевому порталі відкритих даних Львівщини Департаменту оприлюднюються наступні набори даних:</w:t>
      </w:r>
    </w:p>
    <w:p w:rsidR="00743505" w:rsidRDefault="00BD3770">
      <w:pPr>
        <w:numPr>
          <w:ilvl w:val="0"/>
          <w:numId w:val="9"/>
        </w:numPr>
        <w:spacing w:after="0"/>
        <w:ind w:right="-7"/>
      </w:pPr>
      <w:r>
        <w:t>зведена звітність державних, публічних та інших бібліотек</w:t>
      </w:r>
    </w:p>
    <w:p w:rsidR="00743505" w:rsidRDefault="00BD3770">
      <w:pPr>
        <w:numPr>
          <w:ilvl w:val="0"/>
          <w:numId w:val="9"/>
        </w:numPr>
        <w:spacing w:after="0"/>
        <w:ind w:right="-7"/>
      </w:pPr>
      <w:r>
        <w:t>звіт про діяльність державних, публічних бібліотек, централізованих бібліотечних систем (ЦБС), що віднесені до сфери управління Міністерства культури і туризму України</w:t>
      </w:r>
    </w:p>
    <w:p w:rsidR="00743505" w:rsidRDefault="00BD3770">
      <w:pPr>
        <w:numPr>
          <w:ilvl w:val="0"/>
          <w:numId w:val="9"/>
        </w:numPr>
        <w:spacing w:after="0"/>
        <w:ind w:right="-7"/>
      </w:pPr>
      <w:r>
        <w:t>кількість закладів культури в територіальних громадах</w:t>
      </w:r>
    </w:p>
    <w:p w:rsidR="00743505" w:rsidRDefault="00BD3770">
      <w:pPr>
        <w:numPr>
          <w:ilvl w:val="0"/>
          <w:numId w:val="9"/>
        </w:numPr>
        <w:spacing w:after="0"/>
        <w:ind w:right="-7"/>
      </w:pPr>
      <w:r>
        <w:t>дані про відвідуваність музеїв</w:t>
      </w:r>
    </w:p>
    <w:p w:rsidR="00743505" w:rsidRDefault="00BD3770">
      <w:pPr>
        <w:numPr>
          <w:ilvl w:val="0"/>
          <w:numId w:val="9"/>
        </w:numPr>
        <w:spacing w:after="0"/>
        <w:ind w:right="-7"/>
      </w:pPr>
      <w:r>
        <w:t>дані про відвідуваність театрів та інших закладів культури</w:t>
      </w:r>
    </w:p>
    <w:p w:rsidR="00743505" w:rsidRDefault="00BD3770">
      <w:pPr>
        <w:numPr>
          <w:ilvl w:val="0"/>
          <w:numId w:val="9"/>
        </w:numPr>
        <w:spacing w:after="0"/>
        <w:ind w:right="-7"/>
      </w:pPr>
      <w:r>
        <w:t>звіт про діяльність музейних закладів Львівської області</w:t>
      </w:r>
    </w:p>
    <w:p w:rsidR="00743505" w:rsidRDefault="00BD3770">
      <w:pPr>
        <w:numPr>
          <w:ilvl w:val="0"/>
          <w:numId w:val="9"/>
        </w:numPr>
        <w:spacing w:after="0"/>
        <w:ind w:right="-7"/>
      </w:pPr>
      <w:r>
        <w:t>статути релігійних громад</w:t>
      </w:r>
    </w:p>
    <w:p w:rsidR="00743505" w:rsidRDefault="00BD3770">
      <w:pPr>
        <w:numPr>
          <w:ilvl w:val="0"/>
          <w:numId w:val="9"/>
        </w:numPr>
        <w:spacing w:after="0"/>
        <w:ind w:right="-7"/>
      </w:pPr>
      <w:r>
        <w:lastRenderedPageBreak/>
        <w:t>кількість закладів культури на одну тисячу мешканців у громадах</w:t>
      </w:r>
    </w:p>
    <w:p w:rsidR="00743505" w:rsidRDefault="00743505">
      <w:pPr>
        <w:spacing w:after="0"/>
        <w:ind w:left="720" w:right="-7"/>
      </w:pPr>
    </w:p>
    <w:p w:rsidR="00743505" w:rsidRDefault="00BD3770">
      <w:pPr>
        <w:spacing w:after="0"/>
        <w:ind w:right="-7"/>
      </w:pPr>
      <w:r>
        <w:t xml:space="preserve">Більшість наборів відкритих даних є ініціативними (не </w:t>
      </w:r>
      <w:proofErr w:type="spellStart"/>
      <w:r>
        <w:t>обовʼязковими</w:t>
      </w:r>
      <w:proofErr w:type="spellEnd"/>
      <w:r>
        <w:t xml:space="preserve"> до оприлюднення відповідно до Переліку затвердженого Постановою Кабінету Міністрів України №835), проте ці набори внесені у внутрішні нормативно правові акти ЛОВА, визначені посадові особи відповідальні за оприлюднення у структурних підрозділах ЛОВА.</w:t>
      </w:r>
    </w:p>
    <w:p w:rsidR="00743505" w:rsidRDefault="00BD3770">
      <w:pPr>
        <w:spacing w:after="0"/>
        <w:ind w:right="-7"/>
      </w:pPr>
      <w:r>
        <w:t>Запити на публічну інформацію отримані департаментом є нерегулярними та носять персональний характер.</w:t>
      </w:r>
    </w:p>
    <w:p w:rsidR="00743505" w:rsidRDefault="00743505">
      <w:pPr>
        <w:spacing w:after="0"/>
        <w:ind w:right="-7"/>
      </w:pPr>
    </w:p>
    <w:p w:rsidR="00743505" w:rsidRDefault="00BD3770">
      <w:pPr>
        <w:spacing w:after="0"/>
        <w:ind w:right="-7"/>
      </w:pPr>
      <w:r>
        <w:t>Загалом рекомендовано:</w:t>
      </w:r>
    </w:p>
    <w:p w:rsidR="00743505" w:rsidRDefault="00BD3770">
      <w:pPr>
        <w:numPr>
          <w:ilvl w:val="0"/>
          <w:numId w:val="10"/>
        </w:numPr>
        <w:spacing w:after="0"/>
      </w:pPr>
      <w:r>
        <w:t xml:space="preserve">розглянути оприлюднення у </w:t>
      </w:r>
      <w:proofErr w:type="spellStart"/>
      <w:r>
        <w:t>машиночитаному</w:t>
      </w:r>
      <w:proofErr w:type="spellEnd"/>
      <w:r>
        <w:t xml:space="preserve"> форматі інформації про кінотеатри Львівщини</w:t>
      </w:r>
    </w:p>
    <w:p w:rsidR="00743505" w:rsidRDefault="00BD3770">
      <w:pPr>
        <w:numPr>
          <w:ilvl w:val="0"/>
          <w:numId w:val="10"/>
        </w:numPr>
      </w:pPr>
      <w:r>
        <w:t>в рамках оприлюднення набору даних “Звіти, у тому числі щодо задоволення запитів на інформацію” згідно рекомендацій Міністерства цифрової трансформації України додати до набору звіти про музеї та бібліотеки, які готуються департаментом</w:t>
      </w:r>
    </w:p>
    <w:p w:rsidR="00743505" w:rsidRDefault="00743505">
      <w:pPr>
        <w:spacing w:after="0"/>
        <w:ind w:right="-7"/>
        <w:rPr>
          <w:color w:val="4A86E8"/>
        </w:rPr>
      </w:pPr>
    </w:p>
    <w:p w:rsidR="00743505" w:rsidRDefault="00743505">
      <w:pPr>
        <w:ind w:right="-7" w:firstLine="720"/>
        <w:rPr>
          <w:color w:val="FF0000"/>
        </w:rPr>
      </w:pPr>
    </w:p>
    <w:p w:rsidR="00743505" w:rsidRDefault="00BD3770">
      <w:pPr>
        <w:pStyle w:val="3"/>
        <w:ind w:right="-7"/>
        <w:rPr>
          <w:color w:val="000000"/>
        </w:rPr>
      </w:pPr>
      <w:bookmarkStart w:id="19" w:name="_zahsin1j3xn7" w:colFirst="0" w:colLast="0"/>
      <w:bookmarkEnd w:id="19"/>
      <w:r>
        <w:rPr>
          <w:color w:val="000000"/>
        </w:rPr>
        <w:t>Служба у справах дітей</w:t>
      </w:r>
    </w:p>
    <w:p w:rsidR="00743505" w:rsidRDefault="00BD3770">
      <w:pPr>
        <w:ind w:right="-7"/>
      </w:pPr>
      <w:r>
        <w:t>Адреса:79005, м. Львів, вул. Валова, 31</w:t>
      </w:r>
    </w:p>
    <w:p w:rsidR="00743505" w:rsidRDefault="00BD3770">
      <w:pPr>
        <w:ind w:right="-7"/>
      </w:pPr>
      <w:r>
        <w:t xml:space="preserve">Кількість посадових осіб: 12. </w:t>
      </w:r>
    </w:p>
    <w:p w:rsidR="00743505" w:rsidRDefault="00743505">
      <w:pPr>
        <w:ind w:right="-7"/>
        <w:rPr>
          <w:color w:val="4A86E8"/>
        </w:rPr>
      </w:pPr>
    </w:p>
    <w:p w:rsidR="00743505" w:rsidRDefault="00BD3770">
      <w:pPr>
        <w:ind w:right="-7"/>
        <w:rPr>
          <w:b/>
        </w:rPr>
      </w:pPr>
      <w:r>
        <w:rPr>
          <w:b/>
        </w:rPr>
        <w:t>Перелік наборів відкритих даних обов'язкових до оприлюднення відповідно до Постанови №835</w:t>
      </w:r>
    </w:p>
    <w:p w:rsidR="00743505" w:rsidRDefault="00BD3770">
      <w:pPr>
        <w:ind w:right="-7"/>
      </w:pPr>
      <w:r>
        <w:t xml:space="preserve">Відповідно до Постанови Кабінету Міністрів України №835 «Про затвердження Положення про набори даних, які підлягають оприлюдненню у формі відкритих даних»  від 21 жовтня 2015 року, в сферу повноважень управління входить оприлюднення набору даних “Звіти, у тому числі щодо задоволення запитів на інформацію” де оприлюднює звіти 2-ФК, 5-ФК, 8-ФК. Також управління є розпорядником публічної інформації із розділу «Всі розпорядники інформації»: “Довідник підприємств….”, “Інформація про структуру розпорядника інформації”, “Реєстр наборів даних …” , “Адміністративні дані …”, “Переліки нормативно-правових актів….”, “Переліки регуляторних актів….”, “План діяльності з підготовки проектів регуляторних актів ….”, “Інформація про нормативно-правові засади діяльності …”, “Інформація про отримане майно….” , “Інформація із системи обліку публічної інформації”. </w:t>
      </w:r>
    </w:p>
    <w:p w:rsidR="00743505" w:rsidRDefault="00BD3770">
      <w:pPr>
        <w:ind w:right="-7"/>
      </w:pPr>
      <w:r>
        <w:t xml:space="preserve">Служба у справах дітей Львівської обласної державної адміністрації (надалі – Служба) є структурним підрозділом обласної державної адміністрації, яка утворюється головою обласної державної адміністрації, входить до її складу і підпорядкована відповідно голові обласної державної адміністрації, а також підзвітна і підконтрольна Міністерству соціальної політики України (надалі – </w:t>
      </w:r>
      <w:proofErr w:type="spellStart"/>
      <w:r>
        <w:t>Мінсоцполітики</w:t>
      </w:r>
      <w:proofErr w:type="spellEnd"/>
      <w:r>
        <w:t>).</w:t>
      </w:r>
    </w:p>
    <w:p w:rsidR="00743505" w:rsidRDefault="00BD3770">
      <w:pPr>
        <w:ind w:right="-7"/>
      </w:pPr>
      <w:r>
        <w:lastRenderedPageBreak/>
        <w:t xml:space="preserve">Служба  у  своїй  діяльності  керується  Конституцією і законами  України,  а  також  указами  Президента України  та  постановами  Верховної  Ради  України,  прийнятими відповідно до Конституції і законів України, актами Кабінету  Міністрів  України,  наказами  </w:t>
      </w:r>
      <w:proofErr w:type="spellStart"/>
      <w:r>
        <w:t>Мінсоцполітики</w:t>
      </w:r>
      <w:proofErr w:type="spellEnd"/>
      <w:r>
        <w:t>, розпорядженнями голови обласної державної адміністрації, наказами керівника апарату обласної державної адміністрації, актами обласної ради та іншими нормативно – правовими актами.</w:t>
      </w:r>
    </w:p>
    <w:p w:rsidR="00743505" w:rsidRDefault="00743505">
      <w:pPr>
        <w:ind w:right="-7"/>
      </w:pPr>
    </w:p>
    <w:p w:rsidR="00743505" w:rsidRDefault="00BD3770">
      <w:pPr>
        <w:ind w:right="-7"/>
      </w:pPr>
      <w:r>
        <w:t>Основними завданнями служби є:</w:t>
      </w:r>
    </w:p>
    <w:p w:rsidR="00743505" w:rsidRDefault="00743505">
      <w:pPr>
        <w:ind w:right="-7"/>
      </w:pPr>
    </w:p>
    <w:p w:rsidR="00743505" w:rsidRDefault="00BD3770">
      <w:pPr>
        <w:numPr>
          <w:ilvl w:val="0"/>
          <w:numId w:val="21"/>
        </w:numPr>
        <w:spacing w:after="0"/>
        <w:ind w:right="-7"/>
      </w:pPr>
      <w:r>
        <w:t>Реалізація на території області державної політики з питань соціального захисту дітей, запобігання дитячій бездоглядності та безпритульності;</w:t>
      </w:r>
    </w:p>
    <w:p w:rsidR="00743505" w:rsidRDefault="00BD3770">
      <w:pPr>
        <w:numPr>
          <w:ilvl w:val="0"/>
          <w:numId w:val="21"/>
        </w:numPr>
        <w:spacing w:after="0"/>
        <w:ind w:right="-7"/>
      </w:pPr>
      <w:r>
        <w:t>Розроблення і здійснення самостійно або разом з іншими органами виконавчої влади, органами місцевого самоврядування, підприємствами, установами та організаціями усіх форм власності, громадськими організаціями заходів щодо захисту прав, свобод і законних інтересів дітей;</w:t>
      </w:r>
    </w:p>
    <w:p w:rsidR="00743505" w:rsidRDefault="00BD3770">
      <w:pPr>
        <w:numPr>
          <w:ilvl w:val="0"/>
          <w:numId w:val="21"/>
        </w:numPr>
        <w:spacing w:after="0"/>
        <w:ind w:right="-7"/>
      </w:pPr>
      <w:r>
        <w:t>Координація зусиль місцевих органів виконавчої влади, органів місцевого самоврядування, підприємств, установ та  організацій усіх форм власності у вирішенні питань соціального захисту дітей та організації роботи із запобігання дитячій бездоглядності та безпритульності;</w:t>
      </w:r>
    </w:p>
    <w:p w:rsidR="00743505" w:rsidRDefault="00BD3770">
      <w:pPr>
        <w:numPr>
          <w:ilvl w:val="0"/>
          <w:numId w:val="21"/>
        </w:numPr>
        <w:spacing w:after="0"/>
        <w:ind w:right="-7"/>
      </w:pPr>
      <w:r>
        <w:t>Забезпечення додержання вимог законодавства щодо встановлення опіки та піклування над дітьми, їх усиновлення, влаштування в дитячі будинки сімейного типу, прийомні сім’ї, сім’ї патронатних вихователів, наставництва;</w:t>
      </w:r>
    </w:p>
    <w:p w:rsidR="00743505" w:rsidRDefault="00BD3770">
      <w:pPr>
        <w:numPr>
          <w:ilvl w:val="0"/>
          <w:numId w:val="21"/>
        </w:numPr>
        <w:spacing w:after="0"/>
        <w:ind w:right="-7"/>
      </w:pPr>
      <w:r>
        <w:t>Здійснення контролю за умовами утримання і виховання дітей у закладах соціального захисту для дітей усіх форм власності;</w:t>
      </w:r>
    </w:p>
    <w:p w:rsidR="00743505" w:rsidRDefault="00BD3770">
      <w:pPr>
        <w:numPr>
          <w:ilvl w:val="0"/>
          <w:numId w:val="21"/>
        </w:numPr>
        <w:spacing w:after="0"/>
        <w:ind w:right="-7"/>
      </w:pPr>
      <w:r>
        <w:t>Ведення державної статистики щодо дітей;</w:t>
      </w:r>
    </w:p>
    <w:p w:rsidR="00743505" w:rsidRDefault="00BD3770">
      <w:pPr>
        <w:numPr>
          <w:ilvl w:val="0"/>
          <w:numId w:val="21"/>
        </w:numPr>
        <w:spacing w:after="0"/>
        <w:ind w:right="-7"/>
      </w:pPr>
      <w:r>
        <w:t>Ведення обліку дітей, які опинилися у складних життєвих обставинах, дітей-сиріт та дітей, позбавлених батьківського піклування, усиновлених, влаштованих до прийомних сімей, дитячих будинків сімейного типу та соціально-реабілітаційних центрів;</w:t>
      </w:r>
    </w:p>
    <w:p w:rsidR="00743505" w:rsidRDefault="00BD3770">
      <w:pPr>
        <w:numPr>
          <w:ilvl w:val="0"/>
          <w:numId w:val="21"/>
        </w:numPr>
        <w:ind w:right="-7"/>
      </w:pPr>
      <w:r>
        <w:t>Визначення пріоритетних напрямків поліпшення на території області становища дітей, їх соціального захисту, сприяння фізичному, духовному та інтелектуальному розвиткові, запобігання дитячій бездоглядності та безпритульності, вчиненню дітьми правопорушень.</w:t>
      </w:r>
    </w:p>
    <w:p w:rsidR="00743505" w:rsidRDefault="00BD3770">
      <w:pPr>
        <w:ind w:right="-7"/>
      </w:pPr>
      <w:r>
        <w:t xml:space="preserve">В своїй діяльності служба регламентується Сімейним кодексом України, Постановами Кабінету Міністрів України № 905 від </w:t>
      </w:r>
      <w:proofErr w:type="spellStart"/>
      <w:r>
        <w:t>від</w:t>
      </w:r>
      <w:proofErr w:type="spellEnd"/>
      <w:r>
        <w:t xml:space="preserve"> 8 жовтня 2008 “Про затвердження Порядку провадження діяльності з усиновлення та здійснення нагляду за дотриманням прав усиновлених дітей”, № 866 “Питання діяльності органів опіки та піклування, пов'язаної із захистом прав дитини” (зі змінами) та іншими законодавчими актами України.</w:t>
      </w:r>
    </w:p>
    <w:p w:rsidR="00743505" w:rsidRDefault="00BD3770">
      <w:pPr>
        <w:ind w:right="-7"/>
        <w:rPr>
          <w:b/>
        </w:rPr>
      </w:pPr>
      <w:r>
        <w:rPr>
          <w:b/>
        </w:rPr>
        <w:t>Перелік наборів відкритих даних обов'язкових до оприлюднення відповідно внутрішніх розпорядчих документів</w:t>
      </w:r>
    </w:p>
    <w:p w:rsidR="00743505" w:rsidRDefault="00BD3770">
      <w:pPr>
        <w:spacing w:after="0"/>
        <w:ind w:right="-7"/>
      </w:pPr>
      <w:r>
        <w:lastRenderedPageBreak/>
        <w:t>Відповідно до Розпорядження начальника обласної військової адміністрації від 11.11.2022 № 571/0/5-22ВА (зі змінами) на місцевому порталі відкритих даних Львівщини Департаментом оприлюднюються наступні набори даних:</w:t>
      </w:r>
    </w:p>
    <w:p w:rsidR="00743505" w:rsidRDefault="00743505">
      <w:pPr>
        <w:spacing w:after="0"/>
        <w:ind w:right="-7"/>
      </w:pPr>
    </w:p>
    <w:p w:rsidR="00743505" w:rsidRDefault="00BD3770">
      <w:pPr>
        <w:numPr>
          <w:ilvl w:val="0"/>
          <w:numId w:val="3"/>
        </w:numPr>
        <w:spacing w:after="0"/>
        <w:ind w:right="-7"/>
      </w:pPr>
      <w:r>
        <w:t>зведений звіт про рух контингенту дітей притулку для дітей;</w:t>
      </w:r>
    </w:p>
    <w:p w:rsidR="00743505" w:rsidRDefault="00BD3770">
      <w:pPr>
        <w:numPr>
          <w:ilvl w:val="0"/>
          <w:numId w:val="3"/>
        </w:numPr>
        <w:spacing w:after="0"/>
        <w:ind w:right="-7"/>
      </w:pPr>
      <w:r>
        <w:t>звіт про збереження житлових прав дітей-сиріт та дітей, позбавлених батьківського піклування;</w:t>
      </w:r>
    </w:p>
    <w:p w:rsidR="00743505" w:rsidRDefault="00BD3770">
      <w:pPr>
        <w:numPr>
          <w:ilvl w:val="0"/>
          <w:numId w:val="3"/>
        </w:numPr>
        <w:spacing w:after="0"/>
        <w:ind w:right="-7"/>
      </w:pPr>
      <w:r>
        <w:t>звіт про кількість дітей сиріт-дітей і дітей позбавлених батьківського піклування;</w:t>
      </w:r>
    </w:p>
    <w:p w:rsidR="00743505" w:rsidRDefault="00BD3770">
      <w:pPr>
        <w:numPr>
          <w:ilvl w:val="0"/>
          <w:numId w:val="3"/>
        </w:numPr>
        <w:spacing w:after="0"/>
        <w:ind w:right="-7"/>
      </w:pPr>
      <w:r>
        <w:t>звіт про функціонування дитячих будинків сімейного типу та прийомних сімей;</w:t>
      </w:r>
    </w:p>
    <w:p w:rsidR="00743505" w:rsidRDefault="00BD3770">
      <w:pPr>
        <w:numPr>
          <w:ilvl w:val="0"/>
          <w:numId w:val="3"/>
        </w:numPr>
        <w:spacing w:after="0"/>
        <w:ind w:right="-7"/>
      </w:pPr>
      <w:r>
        <w:t>кількість дітей, які перебувають у складних життєвих обставинах, в залежності від підстав взяття дитини на облік в розрізі віку</w:t>
      </w:r>
    </w:p>
    <w:p w:rsidR="00743505" w:rsidRDefault="00743505">
      <w:pPr>
        <w:spacing w:after="0"/>
        <w:ind w:left="720" w:right="-7"/>
      </w:pPr>
    </w:p>
    <w:p w:rsidR="00743505" w:rsidRDefault="00BD3770">
      <w:pPr>
        <w:spacing w:after="0"/>
        <w:ind w:right="-7"/>
      </w:pPr>
      <w:r>
        <w:t>При аналізі запитів на публічну інформацію отриманих службою протягом трьох років з’ясовано, що запитувана інформація вже оприлюднюється. Решта запитів носять персональний характер та містять персональні дані.</w:t>
      </w:r>
    </w:p>
    <w:p w:rsidR="00743505" w:rsidRDefault="00743505">
      <w:pPr>
        <w:spacing w:after="0"/>
        <w:ind w:left="720" w:right="-7"/>
      </w:pPr>
    </w:p>
    <w:p w:rsidR="00743505" w:rsidRDefault="00BD3770">
      <w:r>
        <w:rPr>
          <w:b/>
        </w:rPr>
        <w:t>Загалом рекомендовано</w:t>
      </w:r>
      <w:r>
        <w:t xml:space="preserve">: </w:t>
      </w:r>
    </w:p>
    <w:p w:rsidR="00743505" w:rsidRDefault="00BD3770">
      <w:pPr>
        <w:numPr>
          <w:ilvl w:val="0"/>
          <w:numId w:val="10"/>
        </w:numPr>
        <w:spacing w:after="0"/>
      </w:pPr>
      <w:r>
        <w:t>оприлюднювати набори даних: Зведений звіт про рух контингенту дітей притулку для дітей, Звіт про збереження житлових прав дітей-сиріт та дітей, позбавлених батьківського піклування, Звіт про кількість дітей сиріт-дітей і дітей позбавлених батьківського піклування, Звіт про функціонування дитячих будинків сімейного типу та прийомних сімей з урахуванням нових рекомендацій Міністерства цифрової трансформації України.</w:t>
      </w:r>
    </w:p>
    <w:p w:rsidR="00743505" w:rsidRDefault="00BD3770">
      <w:pPr>
        <w:numPr>
          <w:ilvl w:val="0"/>
          <w:numId w:val="10"/>
        </w:numPr>
        <w:spacing w:after="0"/>
      </w:pPr>
      <w:r>
        <w:t>забезпечити регулярне оновлення оприлюднених наборів даних з метою підтримання інформації в актуальному стані.</w:t>
      </w:r>
    </w:p>
    <w:p w:rsidR="00743505" w:rsidRDefault="00BD3770">
      <w:pPr>
        <w:numPr>
          <w:ilvl w:val="0"/>
          <w:numId w:val="10"/>
        </w:numPr>
        <w:spacing w:after="0"/>
      </w:pPr>
      <w:r>
        <w:t>оприлюднювати набір даних “Звіти, у тому числі щодо задоволення запитів на інформацію” згідно рекомендацій Міністерства цифрової трансформації України.</w:t>
      </w:r>
    </w:p>
    <w:p w:rsidR="00743505" w:rsidRDefault="00BD3770">
      <w:pPr>
        <w:numPr>
          <w:ilvl w:val="0"/>
          <w:numId w:val="10"/>
        </w:numPr>
      </w:pPr>
      <w:r>
        <w:t xml:space="preserve">розглянути оприлюднення у </w:t>
      </w:r>
      <w:proofErr w:type="spellStart"/>
      <w:r>
        <w:t>машиночитаному</w:t>
      </w:r>
      <w:proofErr w:type="spellEnd"/>
      <w:r>
        <w:t xml:space="preserve"> форматі інформацію про кількість дітей внутрішньо переміщених осіб, яким надано статус дітей, які постраждали внаслідок воєнних дій та збройних конфліктів та інформацію про кількість квартир придбаних для дітей-сиріт, дітей позбавлених батьківського піклування в рамках “Регіональної програми забезпечення житлом дітей-сиріт, дітей, позбавлених батьківського піклування, та осіб з їх числа у Львівській області на 2021 – 2025 роки”.</w:t>
      </w:r>
    </w:p>
    <w:p w:rsidR="00743505" w:rsidRDefault="00743505"/>
    <w:p w:rsidR="00743505" w:rsidRDefault="00BD3770">
      <w:pPr>
        <w:pStyle w:val="2"/>
        <w:widowControl w:val="0"/>
        <w:spacing w:before="240" w:after="240"/>
        <w:ind w:right="-7"/>
      </w:pPr>
      <w:bookmarkStart w:id="20" w:name="_jpe28uafagx" w:colFirst="0" w:colLast="0"/>
      <w:bookmarkEnd w:id="20"/>
      <w:r>
        <w:t xml:space="preserve">Висновки: </w:t>
      </w:r>
    </w:p>
    <w:p w:rsidR="00743505" w:rsidRDefault="00BD3770">
      <w:pPr>
        <w:widowControl w:val="0"/>
        <w:spacing w:before="240" w:after="240"/>
        <w:ind w:right="-7"/>
      </w:pPr>
      <w:r>
        <w:t xml:space="preserve">За результатами інформаційного аудиту можна зробити висновок, що сфера відкритих даних ЛОВА побудована та </w:t>
      </w:r>
      <w:proofErr w:type="spellStart"/>
      <w:r>
        <w:t>динамічно</w:t>
      </w:r>
      <w:proofErr w:type="spellEnd"/>
      <w:r>
        <w:t xml:space="preserve"> розвивається. Зважаючи на обмежений перелік наборів даних, які є </w:t>
      </w:r>
      <w:proofErr w:type="spellStart"/>
      <w:r>
        <w:t>обовʼязковими</w:t>
      </w:r>
      <w:proofErr w:type="spellEnd"/>
      <w:r>
        <w:t xml:space="preserve"> до оприлюднення державними адміністраціями ЛОВА активно оприлюднює ініціативні набори відкритих та даних та використовує їх для публічної аналітики, що беззаперечно є гарною практикою та прикладом для наслідування.</w:t>
      </w:r>
    </w:p>
    <w:p w:rsidR="00743505" w:rsidRDefault="00BD3770">
      <w:pPr>
        <w:widowControl w:val="0"/>
        <w:spacing w:before="240" w:after="240"/>
        <w:ind w:right="-7"/>
      </w:pPr>
      <w:r>
        <w:lastRenderedPageBreak/>
        <w:t xml:space="preserve">ЛОВА оприлюднює набори відкритих даних на Місцевому порталі відкритих даних Львівщини, які за процедурою </w:t>
      </w:r>
      <w:proofErr w:type="spellStart"/>
      <w:r>
        <w:t>харвестингу</w:t>
      </w:r>
      <w:proofErr w:type="spellEnd"/>
      <w:r>
        <w:t xml:space="preserve"> автоматично оприлюднюються на Єдиному державному веб порталі відкритих даних. </w:t>
      </w:r>
    </w:p>
    <w:p w:rsidR="00743505" w:rsidRDefault="00BD3770">
      <w:pPr>
        <w:widowControl w:val="0"/>
        <w:spacing w:before="240" w:after="240"/>
        <w:ind w:right="-7"/>
      </w:pPr>
      <w:r>
        <w:t xml:space="preserve">Більшість наборів відкритих даних є ініціативними (не </w:t>
      </w:r>
      <w:proofErr w:type="spellStart"/>
      <w:r>
        <w:t>обовʼязковими</w:t>
      </w:r>
      <w:proofErr w:type="spellEnd"/>
      <w:r>
        <w:t xml:space="preserve"> до оприлюднення відповідно до Переліку затвердженого Постановою Кабінету Міністрів України №835), проте ці набори внесені у внутрішні нормативно правові акти ЛОВА, визначені посадові особи відповідальні за оприлюднення у структурних підрозділах ЛОВА, затверджений Перелік наборів відкритих даних до оприлюднення, Положення про набори відкритих даних та Порядок оприлюднення, а також технічні вимоги до оприлюднення. </w:t>
      </w:r>
    </w:p>
    <w:p w:rsidR="00743505" w:rsidRDefault="00BD3770">
      <w:pPr>
        <w:widowControl w:val="0"/>
        <w:spacing w:before="240" w:after="240"/>
        <w:ind w:right="-7"/>
      </w:pPr>
      <w:r>
        <w:t xml:space="preserve">Дані активно використовуються посадовими особами ЛОВА для здійснення управлінської аналітики - прийняття рішень на основі даних. Проте не всі посадові особи мають необхідні технічні компетенції для роботи з даними, іноді обробка значних масивів інформації проводиться “в ручному режимі”, хоча ці дані придатні для автоматизованої машинної обробки. </w:t>
      </w:r>
    </w:p>
    <w:p w:rsidR="00743505" w:rsidRDefault="00BD3770">
      <w:pPr>
        <w:widowControl w:val="0"/>
        <w:spacing w:before="240" w:after="240"/>
        <w:ind w:right="-7"/>
      </w:pPr>
      <w:r>
        <w:t>Під час віддаленого та очного інформаційного аудитів було складено перелік публічної інформації із якою працюють посадові особи ЛОВА. За результатами аналізу переліку, була визначена суспільно-корисна інформація, яка може бути додатково оприлюднена у формі відкритих даних, та інформація, яка може бути використана для створення автоматизованих інструментів управлінської аналітики.</w:t>
      </w:r>
    </w:p>
    <w:p w:rsidR="00743505" w:rsidRDefault="00BD3770">
      <w:pPr>
        <w:widowControl w:val="0"/>
        <w:spacing w:before="240" w:after="240"/>
        <w:ind w:right="-7"/>
      </w:pPr>
      <w:r>
        <w:t xml:space="preserve">Також варто відмітити, що посадові особи із якими були проведені </w:t>
      </w:r>
      <w:proofErr w:type="spellStart"/>
      <w:r>
        <w:t>інтервʼю</w:t>
      </w:r>
      <w:proofErr w:type="spellEnd"/>
      <w:r>
        <w:t xml:space="preserve"> розуміють цінність роботи із структурованими та </w:t>
      </w:r>
      <w:proofErr w:type="spellStart"/>
      <w:r>
        <w:t>машиночитаними</w:t>
      </w:r>
      <w:proofErr w:type="spellEnd"/>
      <w:r>
        <w:t xml:space="preserve"> даними, потенціал використання методів автоматизованої обробки даних та висловлюють бажання проходити відповідні навчання, отримувати навички та підвищувати компетенції в цій сфері.</w:t>
      </w:r>
    </w:p>
    <w:p w:rsidR="00743505" w:rsidRDefault="00BD3770">
      <w:pPr>
        <w:widowControl w:val="0"/>
        <w:spacing w:before="240" w:after="240"/>
        <w:ind w:right="-7"/>
      </w:pPr>
      <w:r>
        <w:t xml:space="preserve">Також під час проведення </w:t>
      </w:r>
      <w:proofErr w:type="spellStart"/>
      <w:r>
        <w:t>інтервʼювання</w:t>
      </w:r>
      <w:proofErr w:type="spellEnd"/>
      <w:r>
        <w:t xml:space="preserve"> було визначено, що однією із ключових перепон для якісного прийняття рішень на основі даних є інформаційний обмін з територіальними громадами та органами місцевого самоврядування, які не мають відповідних </w:t>
      </w:r>
      <w:proofErr w:type="spellStart"/>
      <w:r>
        <w:t>спроможностей</w:t>
      </w:r>
      <w:proofErr w:type="spellEnd"/>
      <w:r>
        <w:t xml:space="preserve"> та посадових осіб із відповідними компетенціями. Також рекомендовано розробити єдиний процес збору інформації із територіальних громад Львівської області, зокрема тієї інформації, яка не збирається централізовано через інформаційні системи, та щодо якої не заплановано змінювати процедуру збору на рівні профільних ЦОВВ.</w:t>
      </w:r>
    </w:p>
    <w:p w:rsidR="00743505" w:rsidRDefault="00BD3770">
      <w:pPr>
        <w:widowControl w:val="0"/>
        <w:spacing w:before="240" w:after="240"/>
        <w:ind w:right="-7"/>
      </w:pPr>
      <w:r>
        <w:t xml:space="preserve">За результатами анкетування помітно, що зустрічаються поодинокі випадки ведення подвійного документообігу (в електронному та паперовому вигляді). В деяких випадках підготовка та зберігання документів на папері регламентовано чинним законодавством. Але загальна тенденція показує тенденцію до поступового переходу на електронний документообіг. </w:t>
      </w:r>
    </w:p>
    <w:p w:rsidR="00743505" w:rsidRDefault="00BD3770">
      <w:pPr>
        <w:widowControl w:val="0"/>
        <w:spacing w:before="240" w:after="240"/>
        <w:ind w:right="-7"/>
      </w:pPr>
      <w:r>
        <w:t>У наступному розділі наведені рекомендації за результатами проведеного інформаційного аудиту ЛОВА.</w:t>
      </w:r>
    </w:p>
    <w:p w:rsidR="00743505" w:rsidRDefault="00BD3770">
      <w:pPr>
        <w:pStyle w:val="2"/>
        <w:widowControl w:val="0"/>
        <w:spacing w:before="240" w:after="240"/>
        <w:ind w:right="-607"/>
      </w:pPr>
      <w:bookmarkStart w:id="21" w:name="_ivbslpr5osbs" w:colFirst="0" w:colLast="0"/>
      <w:bookmarkEnd w:id="21"/>
      <w:r>
        <w:lastRenderedPageBreak/>
        <w:t>Рекомендації</w:t>
      </w:r>
    </w:p>
    <w:p w:rsidR="00743505" w:rsidRDefault="00BD3770">
      <w:pPr>
        <w:pStyle w:val="4"/>
      </w:pPr>
      <w:bookmarkStart w:id="22" w:name="_ndono3ho3aog" w:colFirst="0" w:colLast="0"/>
      <w:bookmarkEnd w:id="22"/>
      <w:r>
        <w:t>Загальні рекомендації:</w:t>
      </w:r>
    </w:p>
    <w:p w:rsidR="00743505" w:rsidRDefault="00BD3770">
      <w:pPr>
        <w:numPr>
          <w:ilvl w:val="0"/>
          <w:numId w:val="17"/>
        </w:numPr>
        <w:spacing w:after="0"/>
      </w:pPr>
      <w:r>
        <w:t xml:space="preserve">У “Переліку наборів даних обласної державної адміністрації, які підлягають оприлюдненню у формі відкритих даних” та “Порядку оприлюднення наборів даних Львівської обласної державної адміністрації у формі відкритих даних” замінити формати </w:t>
      </w:r>
      <w:proofErr w:type="spellStart"/>
      <w:r>
        <w:t>xlsx</w:t>
      </w:r>
      <w:proofErr w:type="spellEnd"/>
      <w:r>
        <w:t xml:space="preserve">, </w:t>
      </w:r>
      <w:proofErr w:type="spellStart"/>
      <w:r>
        <w:t>xls</w:t>
      </w:r>
      <w:proofErr w:type="spellEnd"/>
      <w:r>
        <w:t xml:space="preserve">, </w:t>
      </w:r>
      <w:proofErr w:type="spellStart"/>
      <w:r>
        <w:t>doc</w:t>
      </w:r>
      <w:proofErr w:type="spellEnd"/>
      <w:r>
        <w:t xml:space="preserve">, </w:t>
      </w:r>
      <w:proofErr w:type="spellStart"/>
      <w:r>
        <w:t>docx</w:t>
      </w:r>
      <w:proofErr w:type="spellEnd"/>
      <w:r>
        <w:t xml:space="preserve"> тощо, на формат, в якому оприлюднюються відкриті дані, та який відносяться до відкритих </w:t>
      </w:r>
      <w:proofErr w:type="spellStart"/>
      <w:r>
        <w:t>машиночитаних</w:t>
      </w:r>
      <w:proofErr w:type="spellEnd"/>
      <w:r>
        <w:t xml:space="preserve"> форматів даних - </w:t>
      </w:r>
      <w:proofErr w:type="spellStart"/>
      <w:r>
        <w:t>csv</w:t>
      </w:r>
      <w:proofErr w:type="spellEnd"/>
      <w:r>
        <w:t xml:space="preserve">. </w:t>
      </w:r>
    </w:p>
    <w:p w:rsidR="00743505" w:rsidRDefault="00BD3770">
      <w:pPr>
        <w:numPr>
          <w:ilvl w:val="0"/>
          <w:numId w:val="17"/>
        </w:numPr>
        <w:spacing w:after="0"/>
      </w:pPr>
      <w:r>
        <w:t xml:space="preserve">Актуалізувати перелік відповідальних осіб та </w:t>
      </w:r>
      <w:proofErr w:type="spellStart"/>
      <w:r>
        <w:t>внести</w:t>
      </w:r>
      <w:proofErr w:type="spellEnd"/>
      <w:r>
        <w:t xml:space="preserve"> зміни до відповідного розпорядження.</w:t>
      </w:r>
    </w:p>
    <w:p w:rsidR="00743505" w:rsidRDefault="00BD3770">
      <w:pPr>
        <w:numPr>
          <w:ilvl w:val="0"/>
          <w:numId w:val="17"/>
        </w:numPr>
        <w:spacing w:after="0"/>
      </w:pPr>
      <w:r>
        <w:t>Затвердити за потреби нормативно правові документи, які регламентують оприлюднення публічної інформації у формі відкритих даних в структурних підрозділах ЛОВА.</w:t>
      </w:r>
    </w:p>
    <w:p w:rsidR="00743505" w:rsidRDefault="00BD3770">
      <w:pPr>
        <w:numPr>
          <w:ilvl w:val="0"/>
          <w:numId w:val="17"/>
        </w:numPr>
        <w:spacing w:after="0"/>
      </w:pPr>
      <w:r>
        <w:t xml:space="preserve">Шляхом прийняття внутрішніх розпорядчих актів структурними підрозділами визначити осіб відповідальних за оприлюднення публічної інформації у формі відкритих даних, які покладатимуться на цих осіб чіткі </w:t>
      </w:r>
      <w:proofErr w:type="spellStart"/>
      <w:r>
        <w:t>обовʼязки</w:t>
      </w:r>
      <w:proofErr w:type="spellEnd"/>
      <w:r>
        <w:t xml:space="preserve"> щодо оприлюднення відкритих даних.</w:t>
      </w:r>
    </w:p>
    <w:p w:rsidR="00743505" w:rsidRDefault="00BD3770">
      <w:pPr>
        <w:numPr>
          <w:ilvl w:val="0"/>
          <w:numId w:val="17"/>
        </w:numPr>
      </w:pPr>
      <w:r>
        <w:t>За результатами віддаленого інформаційного аудиту встановлено, що відділами різних структурних підрозділів ЛОВА в межах виконання повноважень створюються численні звіти, які мають оприлюднювати у наборі даних “Звіти, в тому числі щодо….”, рекомендовано розпочати оприлюднення цього набору даних відповідно до рекомендацій Міністерства цифрової трансформації України.</w:t>
      </w:r>
    </w:p>
    <w:p w:rsidR="00743505" w:rsidRDefault="00BD3770">
      <w:pPr>
        <w:ind w:right="-607"/>
      </w:pPr>
      <w:r>
        <w:t>Короткострокові (до одного року):</w:t>
      </w:r>
    </w:p>
    <w:p w:rsidR="00743505" w:rsidRDefault="00BD3770">
      <w:pPr>
        <w:numPr>
          <w:ilvl w:val="0"/>
          <w:numId w:val="14"/>
        </w:numPr>
        <w:spacing w:after="0"/>
        <w:ind w:right="-7"/>
      </w:pPr>
      <w:r>
        <w:t xml:space="preserve">Проведення навчання посадових осіб ЛОВА компетенції у сфері роботи із відкритими даними, інструментів роботи із </w:t>
      </w:r>
      <w:proofErr w:type="spellStart"/>
      <w:r>
        <w:t>машиночитаною</w:t>
      </w:r>
      <w:proofErr w:type="spellEnd"/>
      <w:r>
        <w:t xml:space="preserve"> інформацією, візуалізацією даних. </w:t>
      </w:r>
    </w:p>
    <w:p w:rsidR="00743505" w:rsidRDefault="00BD3770">
      <w:pPr>
        <w:numPr>
          <w:ilvl w:val="0"/>
          <w:numId w:val="14"/>
        </w:numPr>
        <w:spacing w:after="0"/>
        <w:ind w:right="-7"/>
      </w:pPr>
      <w:r>
        <w:t>Провести навчання визначених посадових осіб роботі з інструментами із візуалізації даних</w:t>
      </w:r>
    </w:p>
    <w:p w:rsidR="00743505" w:rsidRDefault="00BD3770">
      <w:pPr>
        <w:numPr>
          <w:ilvl w:val="0"/>
          <w:numId w:val="14"/>
        </w:numPr>
        <w:spacing w:after="0"/>
        <w:ind w:right="-7"/>
      </w:pPr>
      <w:proofErr w:type="spellStart"/>
      <w:r>
        <w:t>Внести</w:t>
      </w:r>
      <w:proofErr w:type="spellEnd"/>
      <w:r>
        <w:t xml:space="preserve"> зміни до розпорядження начальника ЛОВА від 11.11.2022 № 571/0/5-22ВА (</w:t>
      </w:r>
      <w:hyperlink r:id="rId20">
        <w:r>
          <w:rPr>
            <w:u w:val="single"/>
          </w:rPr>
          <w:t>https://loda.gov.ua/documents/45836</w:t>
        </w:r>
      </w:hyperlink>
      <w:r>
        <w:t xml:space="preserve"> та збільшити перелік наборів даних обласної державної адміністрації, які підлягають </w:t>
      </w:r>
      <w:proofErr w:type="spellStart"/>
      <w:r>
        <w:t>оприлюненню</w:t>
      </w:r>
      <w:proofErr w:type="spellEnd"/>
      <w:r>
        <w:t xml:space="preserve"> у формі відкритих даних.</w:t>
      </w:r>
    </w:p>
    <w:p w:rsidR="00743505" w:rsidRDefault="00BD3770">
      <w:pPr>
        <w:widowControl w:val="0"/>
        <w:numPr>
          <w:ilvl w:val="0"/>
          <w:numId w:val="14"/>
        </w:numPr>
        <w:spacing w:after="0"/>
        <w:ind w:right="-7"/>
      </w:pPr>
      <w:r>
        <w:t>Розглянути можливість оприлюднення публічної інформації з реєстрів, які містяться у додатку 1 до цього звіту.</w:t>
      </w:r>
    </w:p>
    <w:p w:rsidR="00743505" w:rsidRDefault="00BD3770">
      <w:pPr>
        <w:widowControl w:val="0"/>
        <w:numPr>
          <w:ilvl w:val="0"/>
          <w:numId w:val="14"/>
        </w:numPr>
        <w:spacing w:after="0"/>
        <w:ind w:right="-7"/>
      </w:pPr>
      <w:r>
        <w:t xml:space="preserve">Розглянути можливість оприлюднення публічної інформації, яка наведена у розділі “Результати проведеного очного інформаційного аудиту” </w:t>
      </w:r>
    </w:p>
    <w:p w:rsidR="00743505" w:rsidRDefault="00BD3770">
      <w:pPr>
        <w:widowControl w:val="0"/>
        <w:numPr>
          <w:ilvl w:val="0"/>
          <w:numId w:val="14"/>
        </w:numPr>
        <w:spacing w:after="0"/>
        <w:ind w:right="-7"/>
      </w:pPr>
      <w:r>
        <w:t xml:space="preserve">Організувати безперервний процес підвищення кваліфікації кадрів територіальних громад із якими відбувається взаємодія в межах інформаційного обміну, для отримання ними відповідних навичок роботи із структурованою, </w:t>
      </w:r>
      <w:proofErr w:type="spellStart"/>
      <w:r>
        <w:t>машиночитаною</w:t>
      </w:r>
      <w:proofErr w:type="spellEnd"/>
      <w:r>
        <w:t xml:space="preserve"> інформацією.</w:t>
      </w:r>
    </w:p>
    <w:p w:rsidR="00743505" w:rsidRDefault="00BD3770">
      <w:pPr>
        <w:numPr>
          <w:ilvl w:val="0"/>
          <w:numId w:val="14"/>
        </w:numPr>
        <w:spacing w:after="0"/>
      </w:pPr>
      <w:r>
        <w:t xml:space="preserve">Рекомендується провести оцінку потреб структурних підрозділів ЛОВА у використанні системи </w:t>
      </w:r>
      <w:proofErr w:type="spellStart"/>
      <w:r>
        <w:t>ArcGIS</w:t>
      </w:r>
      <w:proofErr w:type="spellEnd"/>
      <w:r>
        <w:t xml:space="preserve"> для підвищення ефективності їхньої роботи та оптимізації управлінських процесів.</w:t>
      </w:r>
    </w:p>
    <w:p w:rsidR="00743505" w:rsidRDefault="00BD3770">
      <w:pPr>
        <w:numPr>
          <w:ilvl w:val="0"/>
          <w:numId w:val="14"/>
        </w:numPr>
        <w:spacing w:after="0"/>
      </w:pPr>
      <w:r>
        <w:t xml:space="preserve">Управлінню з питань цифрового розвитку ЛОВА рекомендовано розглянути технічні способи та можливості інтеграції даних системи </w:t>
      </w:r>
      <w:proofErr w:type="spellStart"/>
      <w:r>
        <w:t>ArcGis</w:t>
      </w:r>
      <w:proofErr w:type="spellEnd"/>
      <w:r>
        <w:t xml:space="preserve"> та Системи містобудування кадастру ЛОВА - системи </w:t>
      </w:r>
      <w:proofErr w:type="spellStart"/>
      <w:r>
        <w:t>SoftPro</w:t>
      </w:r>
      <w:proofErr w:type="spellEnd"/>
      <w:r>
        <w:t xml:space="preserve">, Порталу відкритих даних Львівщини, Статистичного </w:t>
      </w:r>
      <w:r>
        <w:lastRenderedPageBreak/>
        <w:t xml:space="preserve">порталу Львівщини.  Для обміну даними та запобігання внесенню однієї і тієї ж інформації різними структурними підрозділами в ручному режимі, дотримуючись підходу, що дані повинні вноситись в будь яку інформаційну систему один раз - далі обмін даними між системами має відбуватись автоматично або </w:t>
      </w:r>
      <w:proofErr w:type="spellStart"/>
      <w:r>
        <w:t>напівавтоматично</w:t>
      </w:r>
      <w:proofErr w:type="spellEnd"/>
      <w:r>
        <w:t>.</w:t>
      </w:r>
    </w:p>
    <w:p w:rsidR="00743505" w:rsidRDefault="00BD3770">
      <w:pPr>
        <w:numPr>
          <w:ilvl w:val="0"/>
          <w:numId w:val="19"/>
        </w:numPr>
        <w:spacing w:after="0"/>
        <w:ind w:right="-7"/>
      </w:pPr>
      <w:r>
        <w:t xml:space="preserve">Розглянути можливість впровадження автоматизованої системи збору адміністративних даних із громад та районів, для формування звітності різних рівнів після проведення консультацій із профільними центральними органами виконавчої влади та Міністерством цифрової трансформації України, для узгодження такої системи із галузевими програмами </w:t>
      </w:r>
      <w:proofErr w:type="spellStart"/>
      <w:r>
        <w:t>цифровізації</w:t>
      </w:r>
      <w:proofErr w:type="spellEnd"/>
      <w:r>
        <w:t>.</w:t>
      </w:r>
    </w:p>
    <w:p w:rsidR="00743505" w:rsidRDefault="00BD3770">
      <w:pPr>
        <w:numPr>
          <w:ilvl w:val="0"/>
          <w:numId w:val="19"/>
        </w:numPr>
        <w:ind w:right="-7"/>
      </w:pPr>
      <w:r>
        <w:t>Розробити внутрішні механізми управління інформацією у структурних підрозділах ЛОВА, які забезпечать, щоб вся інформація, що створюється, обробляється та використовується працівниками відповідно до їхніх повноважень і посадових обов’язків, підлягала належному зберіганню з метою уникнення її втрати чи умисного знищення.</w:t>
      </w:r>
    </w:p>
    <w:p w:rsidR="00743505" w:rsidRDefault="00BD3770">
      <w:pPr>
        <w:pStyle w:val="4"/>
        <w:ind w:right="-7"/>
      </w:pPr>
      <w:bookmarkStart w:id="23" w:name="_pgkz5bers6ue" w:colFirst="0" w:colLast="0"/>
      <w:bookmarkEnd w:id="23"/>
      <w:r>
        <w:t>Департамент екології та природних ресурсів</w:t>
      </w:r>
    </w:p>
    <w:p w:rsidR="00743505" w:rsidRDefault="00BD3770">
      <w:pPr>
        <w:numPr>
          <w:ilvl w:val="0"/>
          <w:numId w:val="27"/>
        </w:numPr>
        <w:spacing w:after="0"/>
        <w:ind w:right="-7"/>
      </w:pPr>
      <w:r>
        <w:t>Рекомендовано оприлюднити наявний перелік об’єктів утворення оброблення та утилізації відходів, та реєстр місць видалення відходів у формі відкритих даних на місцевому порталі відкритих даних із приміткою «не оновлюється».</w:t>
      </w:r>
    </w:p>
    <w:p w:rsidR="00743505" w:rsidRDefault="00BD3770">
      <w:pPr>
        <w:numPr>
          <w:ilvl w:val="0"/>
          <w:numId w:val="27"/>
        </w:numPr>
        <w:spacing w:after="0"/>
        <w:ind w:right="-7"/>
      </w:pPr>
      <w:r>
        <w:t>Привести у відповідність до Рекомендацій Міністерства цифрової трансформації України набір даних «Перелік дозволів на викиди забруднюючих речовин в атмосферне повітря стаціонарними джерелами об’єктів 2 і 3 груп із зазначенням номера та строку дії для облдержадміністрацій».</w:t>
      </w:r>
    </w:p>
    <w:p w:rsidR="00743505" w:rsidRDefault="00BD3770">
      <w:pPr>
        <w:numPr>
          <w:ilvl w:val="0"/>
          <w:numId w:val="27"/>
        </w:numPr>
        <w:spacing w:after="0"/>
        <w:ind w:right="-7"/>
      </w:pPr>
      <w:r>
        <w:t xml:space="preserve">Рекомендовано привести “Реєстр дозволів на спеціальне використання природних ресурсів у межах </w:t>
      </w:r>
      <w:proofErr w:type="spellStart"/>
      <w:r>
        <w:t>обʼєктів</w:t>
      </w:r>
      <w:proofErr w:type="spellEnd"/>
      <w:r>
        <w:t xml:space="preserve"> природно-заповідного фонду” до </w:t>
      </w:r>
      <w:proofErr w:type="spellStart"/>
      <w:r>
        <w:t>машиночитаного</w:t>
      </w:r>
      <w:proofErr w:type="spellEnd"/>
      <w:r>
        <w:t xml:space="preserve"> формату та оприлюднити у формі відкритих даних, також оприлюднювати на веб-сайті актуальний перелік дозволів з реєстру.</w:t>
      </w:r>
    </w:p>
    <w:p w:rsidR="00743505" w:rsidRDefault="00BD3770">
      <w:pPr>
        <w:numPr>
          <w:ilvl w:val="0"/>
          <w:numId w:val="27"/>
        </w:numPr>
        <w:spacing w:after="0"/>
        <w:ind w:right="-7"/>
      </w:pPr>
      <w:r>
        <w:t xml:space="preserve">Привести до </w:t>
      </w:r>
      <w:proofErr w:type="spellStart"/>
      <w:r>
        <w:t>машиночитаного</w:t>
      </w:r>
      <w:proofErr w:type="spellEnd"/>
      <w:r>
        <w:t xml:space="preserve"> формату перелік </w:t>
      </w:r>
      <w:proofErr w:type="spellStart"/>
      <w:r>
        <w:t>обʼєктів</w:t>
      </w:r>
      <w:proofErr w:type="spellEnd"/>
      <w:r>
        <w:t xml:space="preserve"> природно-заповідного фонду та оприлюднити його у формі відкритих даних. </w:t>
      </w:r>
    </w:p>
    <w:p w:rsidR="00743505" w:rsidRDefault="00BD3770">
      <w:pPr>
        <w:numPr>
          <w:ilvl w:val="0"/>
          <w:numId w:val="27"/>
        </w:numPr>
        <w:spacing w:after="0"/>
        <w:ind w:right="-7"/>
      </w:pPr>
      <w:r>
        <w:t xml:space="preserve">Привести до вимог </w:t>
      </w:r>
      <w:proofErr w:type="spellStart"/>
      <w:r>
        <w:t>машиночитаності</w:t>
      </w:r>
      <w:proofErr w:type="spellEnd"/>
      <w:r>
        <w:t xml:space="preserve"> та оприлюднювати у формі відкритих даних актуальний перелік погоджених департаментом заходів для поліпшення санітарного стану лісів у межах територій та об’єктів природно-заповідного фонду Львівської області</w:t>
      </w:r>
      <w:r>
        <w:rPr>
          <w:shd w:val="clear" w:color="auto" w:fill="D9EAD3"/>
        </w:rPr>
        <w:t>.</w:t>
      </w:r>
    </w:p>
    <w:p w:rsidR="00743505" w:rsidRDefault="00743505">
      <w:pPr>
        <w:spacing w:after="0"/>
        <w:ind w:left="720" w:right="-7"/>
      </w:pPr>
    </w:p>
    <w:p w:rsidR="00743505" w:rsidRDefault="00BD3770">
      <w:pPr>
        <w:numPr>
          <w:ilvl w:val="0"/>
          <w:numId w:val="25"/>
        </w:numPr>
        <w:ind w:right="-7"/>
      </w:pPr>
      <w:r>
        <w:t xml:space="preserve">Після запуску Інформаційної системи управління відходами в межах інформаційного обміну отримувати детальну інформацію щодо стану таких </w:t>
      </w:r>
      <w:proofErr w:type="spellStart"/>
      <w:r>
        <w:t>обʼєктів</w:t>
      </w:r>
      <w:proofErr w:type="spellEnd"/>
      <w:r>
        <w:t xml:space="preserve"> на території Львівської області.</w:t>
      </w:r>
    </w:p>
    <w:p w:rsidR="00743505" w:rsidRDefault="00BD3770">
      <w:pPr>
        <w:pStyle w:val="4"/>
        <w:ind w:right="-7"/>
      </w:pPr>
      <w:bookmarkStart w:id="24" w:name="_mjjmbsm0mx9l" w:colFirst="0" w:colLast="0"/>
      <w:bookmarkEnd w:id="24"/>
      <w:r>
        <w:t>Департамент освіти і науки</w:t>
      </w:r>
    </w:p>
    <w:p w:rsidR="00743505" w:rsidRDefault="00BD3770">
      <w:pPr>
        <w:numPr>
          <w:ilvl w:val="0"/>
          <w:numId w:val="15"/>
        </w:numPr>
        <w:spacing w:after="0"/>
        <w:ind w:right="-7"/>
      </w:pPr>
      <w:r>
        <w:t xml:space="preserve">Налаштувати систему збору актуальної інформації про наявне комп'ютерне забезпечення (цифрові пристрої в закладах освіти) та збір потреб на таке обладнання у </w:t>
      </w:r>
      <w:proofErr w:type="spellStart"/>
      <w:r>
        <w:t>машиночитаній</w:t>
      </w:r>
      <w:proofErr w:type="spellEnd"/>
      <w:r>
        <w:t xml:space="preserve"> структурованій формі та оприлюднювати у її у формі відкритих даних. Залучити до пошуку технічного рішення для збору цієї інформації Управління з питань цифрового розвитку.</w:t>
      </w:r>
    </w:p>
    <w:p w:rsidR="00743505" w:rsidRDefault="00BD3770">
      <w:pPr>
        <w:numPr>
          <w:ilvl w:val="0"/>
          <w:numId w:val="15"/>
        </w:numPr>
        <w:spacing w:after="0"/>
        <w:ind w:right="-7"/>
      </w:pPr>
      <w:r>
        <w:lastRenderedPageBreak/>
        <w:t xml:space="preserve">Оприлюднення </w:t>
      </w:r>
      <w:proofErr w:type="spellStart"/>
      <w:r>
        <w:t>деперсоналізованої</w:t>
      </w:r>
      <w:proofErr w:type="spellEnd"/>
      <w:r>
        <w:t xml:space="preserve"> інформації про дітей, які навчаються в освітніх заклад області у формі відкритих даних. Структура набору даних та спосіб захисту конфіденційної інформації має бути визначена за результатами застосування трискладового тесту.</w:t>
      </w:r>
    </w:p>
    <w:p w:rsidR="00743505" w:rsidRDefault="00BD3770">
      <w:pPr>
        <w:numPr>
          <w:ilvl w:val="0"/>
          <w:numId w:val="15"/>
        </w:numPr>
        <w:ind w:right="-7"/>
      </w:pPr>
      <w:r>
        <w:t>Оприлюднення інформації про науково педагогічний склад закладів освіти області. Структура набору даних має бути визначена за результатами застосування трискладового тесту та після отримання рекомендацій Міністерства цифрової трансформації.</w:t>
      </w:r>
    </w:p>
    <w:p w:rsidR="00743505" w:rsidRDefault="00BD3770">
      <w:pPr>
        <w:pStyle w:val="4"/>
        <w:ind w:right="-7"/>
      </w:pPr>
      <w:bookmarkStart w:id="25" w:name="_uul3cmtg384w" w:colFirst="0" w:colLast="0"/>
      <w:bookmarkEnd w:id="25"/>
      <w:r>
        <w:t xml:space="preserve">Департамент охорони </w:t>
      </w:r>
      <w:proofErr w:type="spellStart"/>
      <w:r>
        <w:t>здоровʼя</w:t>
      </w:r>
      <w:proofErr w:type="spellEnd"/>
    </w:p>
    <w:p w:rsidR="00743505" w:rsidRDefault="00BD3770">
      <w:pPr>
        <w:numPr>
          <w:ilvl w:val="0"/>
          <w:numId w:val="26"/>
        </w:numPr>
        <w:spacing w:after="0"/>
        <w:ind w:right="-7"/>
      </w:pPr>
      <w:r>
        <w:t>Налагодити інформаційну взаємодію Департаменту за допомогою Місцевого порталу відкритих даних Львівщини. Це дозволить автоматизувати процеси інформаційного обміну, забезпечити якісне оприлюднення інформації та її використання для прийняття рішень на основі даних.</w:t>
      </w:r>
    </w:p>
    <w:p w:rsidR="00743505" w:rsidRDefault="00BD3770">
      <w:pPr>
        <w:numPr>
          <w:ilvl w:val="0"/>
          <w:numId w:val="26"/>
        </w:numPr>
        <w:spacing w:after="0"/>
        <w:ind w:right="-7"/>
      </w:pPr>
      <w:r>
        <w:t xml:space="preserve">Налагодити процес оприлюднення даних щодо залишків препаратів в лікарнях та актуальної потреби лікарень у препаратах із системи </w:t>
      </w:r>
      <w:proofErr w:type="spellStart"/>
      <w:r>
        <w:t>Meddata</w:t>
      </w:r>
      <w:proofErr w:type="spellEnd"/>
    </w:p>
    <w:p w:rsidR="00743505" w:rsidRDefault="00BD3770">
      <w:pPr>
        <w:numPr>
          <w:ilvl w:val="0"/>
          <w:numId w:val="26"/>
        </w:numPr>
        <w:spacing w:after="0"/>
        <w:ind w:right="-7"/>
      </w:pPr>
      <w:r>
        <w:t xml:space="preserve">Розглянути можливість оприлюднення даних із системи «e – </w:t>
      </w:r>
      <w:proofErr w:type="spellStart"/>
      <w:r>
        <w:t>Stock</w:t>
      </w:r>
      <w:proofErr w:type="spellEnd"/>
      <w:r>
        <w:t xml:space="preserve">», щодо потреб Закладів охорони </w:t>
      </w:r>
      <w:proofErr w:type="spellStart"/>
      <w:r>
        <w:t>здоровʼя</w:t>
      </w:r>
      <w:proofErr w:type="spellEnd"/>
      <w:r>
        <w:t xml:space="preserve"> області у препаратах, порівняти дані із системи </w:t>
      </w:r>
      <w:proofErr w:type="spellStart"/>
      <w:r>
        <w:t>Meddata</w:t>
      </w:r>
      <w:proofErr w:type="spellEnd"/>
      <w:r>
        <w:t>.</w:t>
      </w:r>
    </w:p>
    <w:p w:rsidR="00743505" w:rsidRDefault="00BD3770">
      <w:pPr>
        <w:numPr>
          <w:ilvl w:val="0"/>
          <w:numId w:val="7"/>
        </w:numPr>
        <w:spacing w:after="0"/>
        <w:ind w:right="-7"/>
      </w:pPr>
      <w:r>
        <w:t>Розглянути можливість оприлюднення інформації про атестацію лікарів, яку проводить Департамент. Визначити структуру ресурсу за результатами застосування трискладового тесту та консультацій проведених з Міністерство цифрової трансформації України.</w:t>
      </w:r>
    </w:p>
    <w:p w:rsidR="00743505" w:rsidRDefault="00BD3770">
      <w:pPr>
        <w:numPr>
          <w:ilvl w:val="0"/>
          <w:numId w:val="7"/>
        </w:numPr>
        <w:ind w:right="-7"/>
      </w:pPr>
      <w:r>
        <w:t>Рекомендується розглянути можливість використання іншого програмного забезпечення для ведення обліку медичних працівників закладів охорони здоров'я області в майбутньому.</w:t>
      </w:r>
    </w:p>
    <w:p w:rsidR="00743505" w:rsidRDefault="00BD3770">
      <w:pPr>
        <w:pStyle w:val="4"/>
        <w:ind w:right="-7"/>
      </w:pPr>
      <w:bookmarkStart w:id="26" w:name="_ny8o41u0p6th" w:colFirst="0" w:colLast="0"/>
      <w:bookmarkEnd w:id="26"/>
      <w:r>
        <w:t>Департамент соціального захисту населення</w:t>
      </w:r>
    </w:p>
    <w:p w:rsidR="00743505" w:rsidRDefault="00BD3770">
      <w:pPr>
        <w:numPr>
          <w:ilvl w:val="0"/>
          <w:numId w:val="18"/>
        </w:numPr>
        <w:spacing w:after="0"/>
        <w:ind w:right="-7"/>
      </w:pPr>
      <w:r>
        <w:t xml:space="preserve">Налагодити систему інформаційного обміну із Міністерством соціальної політики України щодо </w:t>
      </w:r>
      <w:proofErr w:type="spellStart"/>
      <w:r>
        <w:t>деперсоналізованої</w:t>
      </w:r>
      <w:proofErr w:type="spellEnd"/>
      <w:r>
        <w:t xml:space="preserve"> не агрегованої інформації про людей, яка міститься в Єдиному соціальному реєстрі. Частина цієї інформації за умови захисту чутливих конфіденційних даних може бути оприлюднена, загалом вся інформація може використовуватись ЛОВА для прийняття рішень на основі даних.</w:t>
      </w:r>
    </w:p>
    <w:p w:rsidR="00743505" w:rsidRDefault="00BD3770">
      <w:pPr>
        <w:numPr>
          <w:ilvl w:val="0"/>
          <w:numId w:val="18"/>
        </w:numPr>
        <w:spacing w:after="0"/>
        <w:ind w:right="-7"/>
      </w:pPr>
      <w:r>
        <w:t xml:space="preserve">Рекомендовано оприлюднювати </w:t>
      </w:r>
      <w:proofErr w:type="spellStart"/>
      <w:r>
        <w:t>деперсоналізовану</w:t>
      </w:r>
      <w:proofErr w:type="spellEnd"/>
      <w:r>
        <w:t xml:space="preserve"> інформацію із “Централізованої бази даних людей з інвалідністю”. Структура оприлюдненого набору даних має бути визначена за результатами застосування трискладового тесту.</w:t>
      </w:r>
    </w:p>
    <w:p w:rsidR="00743505" w:rsidRDefault="00BD3770">
      <w:pPr>
        <w:numPr>
          <w:ilvl w:val="0"/>
          <w:numId w:val="18"/>
        </w:numPr>
        <w:spacing w:after="0"/>
        <w:ind w:right="-7"/>
      </w:pPr>
      <w:r>
        <w:t>Оприлюднити інформацію із “Реєстру надавачів соціальних послуг” по Львівській області.</w:t>
      </w:r>
    </w:p>
    <w:p w:rsidR="00743505" w:rsidRDefault="00BD3770">
      <w:pPr>
        <w:numPr>
          <w:ilvl w:val="0"/>
          <w:numId w:val="18"/>
        </w:numPr>
        <w:spacing w:after="0"/>
        <w:ind w:right="-7"/>
      </w:pPr>
      <w:r>
        <w:t xml:space="preserve">Оприлюднити </w:t>
      </w:r>
      <w:proofErr w:type="spellStart"/>
      <w:r>
        <w:t>деперсоналізовану</w:t>
      </w:r>
      <w:proofErr w:type="spellEnd"/>
      <w:r>
        <w:t xml:space="preserve"> інформацію із “Реєстру багатодітних сімей” у розрізі громад, та/або населених пунктів.</w:t>
      </w:r>
    </w:p>
    <w:p w:rsidR="00743505" w:rsidRDefault="00BD3770">
      <w:pPr>
        <w:numPr>
          <w:ilvl w:val="0"/>
          <w:numId w:val="18"/>
        </w:numPr>
        <w:spacing w:after="0"/>
        <w:ind w:right="-7"/>
      </w:pPr>
      <w:r>
        <w:t xml:space="preserve">Оприлюднити </w:t>
      </w:r>
      <w:proofErr w:type="spellStart"/>
      <w:r>
        <w:t>деперсоналізовану</w:t>
      </w:r>
      <w:proofErr w:type="spellEnd"/>
      <w:r>
        <w:t xml:space="preserve"> інформацію із “Реєстру осіб, які стоять на обліку для забезпечення автомобілями”, структуру набору даних необхідно визначити за результатами </w:t>
      </w:r>
      <w:proofErr w:type="spellStart"/>
      <w:r>
        <w:t>трискладовго</w:t>
      </w:r>
      <w:proofErr w:type="spellEnd"/>
      <w:r>
        <w:t xml:space="preserve"> тесту.</w:t>
      </w:r>
    </w:p>
    <w:p w:rsidR="00743505" w:rsidRDefault="00BD3770">
      <w:pPr>
        <w:numPr>
          <w:ilvl w:val="0"/>
          <w:numId w:val="18"/>
        </w:numPr>
        <w:pBdr>
          <w:top w:val="nil"/>
          <w:left w:val="nil"/>
          <w:bottom w:val="nil"/>
          <w:right w:val="nil"/>
          <w:between w:val="nil"/>
        </w:pBdr>
        <w:spacing w:after="0"/>
        <w:ind w:right="-7"/>
      </w:pPr>
      <w:r>
        <w:t xml:space="preserve">Налагодити процес збору первинної не агрегованої інформації із громад, щодо осіб, які мають статус громадян, які постраждали внаслідок Чорнобильської катастрофи, та осіб, </w:t>
      </w:r>
      <w:r>
        <w:lastRenderedPageBreak/>
        <w:t>що мають право на пільги, передбачені Законом України «Про статус і соціальний захист громадян, які постраждали внаслідок Чорнобильської катастрофи»</w:t>
      </w:r>
    </w:p>
    <w:p w:rsidR="00743505" w:rsidRDefault="00BD3770">
      <w:pPr>
        <w:numPr>
          <w:ilvl w:val="0"/>
          <w:numId w:val="18"/>
        </w:numPr>
        <w:pBdr>
          <w:top w:val="nil"/>
          <w:left w:val="nil"/>
          <w:bottom w:val="nil"/>
          <w:right w:val="nil"/>
          <w:between w:val="nil"/>
        </w:pBdr>
        <w:spacing w:after="0"/>
        <w:ind w:right="-7"/>
      </w:pPr>
      <w:r>
        <w:t xml:space="preserve">Оприлюднити </w:t>
      </w:r>
      <w:proofErr w:type="spellStart"/>
      <w:r>
        <w:t>деперсоналізовану</w:t>
      </w:r>
      <w:proofErr w:type="spellEnd"/>
      <w:r>
        <w:t xml:space="preserve"> інформацію із “Кількості багатодітних  сімей та дітей в них” у розрізі РДА та міст обласного значення.</w:t>
      </w:r>
    </w:p>
    <w:p w:rsidR="00743505" w:rsidRDefault="00BD3770">
      <w:pPr>
        <w:pStyle w:val="4"/>
        <w:ind w:right="-7"/>
      </w:pPr>
      <w:bookmarkStart w:id="27" w:name="_akxv3uwdfdmp" w:colFirst="0" w:colLast="0"/>
      <w:bookmarkEnd w:id="27"/>
      <w:r>
        <w:t>Департамент архітектури та розвитку містобудування</w:t>
      </w:r>
    </w:p>
    <w:p w:rsidR="00743505" w:rsidRDefault="00BD3770">
      <w:pPr>
        <w:ind w:right="-7"/>
        <w:jc w:val="left"/>
      </w:pPr>
      <w:r>
        <w:t>Рекомендації за результатами проведеного аудиту:</w:t>
      </w:r>
    </w:p>
    <w:p w:rsidR="00743505" w:rsidRDefault="00BD3770">
      <w:pPr>
        <w:numPr>
          <w:ilvl w:val="0"/>
          <w:numId w:val="6"/>
        </w:numPr>
        <w:spacing w:after="0"/>
        <w:ind w:right="-7"/>
      </w:pPr>
      <w:r>
        <w:t xml:space="preserve">Відкрити публічний доступ до </w:t>
      </w:r>
      <w:proofErr w:type="spellStart"/>
      <w:r>
        <w:t>Геопорталу</w:t>
      </w:r>
      <w:proofErr w:type="spellEnd"/>
      <w:r>
        <w:t xml:space="preserve"> Львівської області.</w:t>
      </w:r>
    </w:p>
    <w:p w:rsidR="00743505" w:rsidRDefault="00BD3770">
      <w:pPr>
        <w:numPr>
          <w:ilvl w:val="0"/>
          <w:numId w:val="6"/>
        </w:numPr>
        <w:spacing w:after="0"/>
        <w:ind w:right="-7"/>
      </w:pPr>
      <w:r>
        <w:t xml:space="preserve">Застосувати трискладовий тест, для визначення шарів </w:t>
      </w:r>
      <w:proofErr w:type="spellStart"/>
      <w:r>
        <w:t>геопросторових</w:t>
      </w:r>
      <w:proofErr w:type="spellEnd"/>
      <w:r>
        <w:t xml:space="preserve"> даних, які можуть бути оприлюднені під час дії режиму воєнного стану.</w:t>
      </w:r>
    </w:p>
    <w:p w:rsidR="00743505" w:rsidRDefault="00BD3770">
      <w:pPr>
        <w:numPr>
          <w:ilvl w:val="0"/>
          <w:numId w:val="6"/>
        </w:numPr>
        <w:spacing w:after="0"/>
        <w:ind w:right="-7"/>
      </w:pPr>
      <w:r>
        <w:t>Оприлюднити реєстр археологічних дозволів зареєстрованих у Відділі обліку, паспортизації та збереження пам′яток.</w:t>
      </w:r>
    </w:p>
    <w:p w:rsidR="00743505" w:rsidRDefault="00BD3770">
      <w:pPr>
        <w:numPr>
          <w:ilvl w:val="0"/>
          <w:numId w:val="6"/>
        </w:numPr>
        <w:spacing w:after="0"/>
        <w:ind w:right="-7"/>
      </w:pPr>
      <w:r>
        <w:t>Оприлюднити реєстр дозволів на проведення робіт на пам'ятках місцевого значення.</w:t>
      </w:r>
    </w:p>
    <w:p w:rsidR="00743505" w:rsidRDefault="00BD3770">
      <w:pPr>
        <w:numPr>
          <w:ilvl w:val="0"/>
          <w:numId w:val="24"/>
        </w:numPr>
        <w:spacing w:after="0"/>
        <w:ind w:right="-7"/>
      </w:pPr>
      <w:r>
        <w:t xml:space="preserve">Напрацювати практику спільного адміністрування </w:t>
      </w:r>
      <w:proofErr w:type="spellStart"/>
      <w:r>
        <w:t>Геоінформаційної</w:t>
      </w:r>
      <w:proofErr w:type="spellEnd"/>
      <w:r>
        <w:t xml:space="preserve"> системи містобудівного кадастру Львівської області відповідними структурними підрозділами ЛОВА для роботи із </w:t>
      </w:r>
      <w:proofErr w:type="spellStart"/>
      <w:r>
        <w:t>геопросторовою</w:t>
      </w:r>
      <w:proofErr w:type="spellEnd"/>
      <w:r>
        <w:t xml:space="preserve"> інформацією.</w:t>
      </w:r>
    </w:p>
    <w:p w:rsidR="00743505" w:rsidRDefault="00BD3770">
      <w:pPr>
        <w:numPr>
          <w:ilvl w:val="0"/>
          <w:numId w:val="24"/>
        </w:numPr>
        <w:spacing w:after="0"/>
        <w:ind w:right="-7"/>
      </w:pPr>
      <w:proofErr w:type="spellStart"/>
      <w:r>
        <w:t>Обʼєднати</w:t>
      </w:r>
      <w:proofErr w:type="spellEnd"/>
      <w:r>
        <w:t xml:space="preserve"> дані, які містяться в </w:t>
      </w:r>
      <w:proofErr w:type="spellStart"/>
      <w:r>
        <w:t>Геоінформаційній</w:t>
      </w:r>
      <w:proofErr w:type="spellEnd"/>
      <w:r>
        <w:t xml:space="preserve"> системі містобудівного кадастру Львівської області та в електронній базі даних Відділ обліку, паспортизації та збереження пам'яток.</w:t>
      </w:r>
    </w:p>
    <w:p w:rsidR="00743505" w:rsidRDefault="00BD3770">
      <w:pPr>
        <w:numPr>
          <w:ilvl w:val="0"/>
          <w:numId w:val="24"/>
        </w:numPr>
        <w:spacing w:after="0"/>
        <w:ind w:right="-7"/>
      </w:pPr>
      <w:r>
        <w:t>Провести комунікацію із Міністерством культури України щодо технічної можливості автоматичного наповнення системи «Е-</w:t>
      </w:r>
      <w:proofErr w:type="spellStart"/>
      <w:r>
        <w:t>памʼятка</w:t>
      </w:r>
      <w:proofErr w:type="spellEnd"/>
      <w:r>
        <w:t xml:space="preserve">» на основі вже наявних </w:t>
      </w:r>
      <w:proofErr w:type="spellStart"/>
      <w:r>
        <w:t>машиночитаних</w:t>
      </w:r>
      <w:proofErr w:type="spellEnd"/>
      <w:r>
        <w:t xml:space="preserve"> даних.</w:t>
      </w:r>
    </w:p>
    <w:p w:rsidR="00743505" w:rsidRDefault="00BD3770">
      <w:pPr>
        <w:numPr>
          <w:ilvl w:val="0"/>
          <w:numId w:val="24"/>
        </w:numPr>
        <w:ind w:right="-7"/>
      </w:pPr>
      <w:r>
        <w:t>Оприлюднити реєстр попередніх та охоронних договорів. Структуру реєстру визначити за результатами застосування трискладового тесту.</w:t>
      </w:r>
    </w:p>
    <w:p w:rsidR="00743505" w:rsidRDefault="00BD3770">
      <w:pPr>
        <w:pStyle w:val="4"/>
        <w:jc w:val="left"/>
      </w:pPr>
      <w:bookmarkStart w:id="28" w:name="_2gt4ujad32z9" w:colFirst="0" w:colLast="0"/>
      <w:bookmarkEnd w:id="28"/>
      <w:r>
        <w:t>Департамент економічної політики</w:t>
      </w:r>
    </w:p>
    <w:p w:rsidR="00743505" w:rsidRDefault="00BD3770">
      <w:pPr>
        <w:numPr>
          <w:ilvl w:val="0"/>
          <w:numId w:val="22"/>
        </w:numPr>
        <w:spacing w:after="0"/>
      </w:pPr>
      <w:r>
        <w:t xml:space="preserve">Напрацювати процес отримання інформації щодо конкретних експортно-імпортних операцій підприємств зареєстрованих на території області від територіального управління Державної митної служби України у Львівській області для використання цієї інформації на статистичному порталі Львівщини та оприлюднення деталізованої </w:t>
      </w:r>
      <w:proofErr w:type="spellStart"/>
      <w:r>
        <w:t>деперсоналізованої</w:t>
      </w:r>
      <w:proofErr w:type="spellEnd"/>
      <w:r>
        <w:t xml:space="preserve"> статистики в розрізі громад. Форма для оприлюднення інформації має бути створена за умови застосування трискладового тесту та проведення консультації із Територіальним управлінням Державної митної служби України у Львівської області для дотримання вимог Митного кодексу </w:t>
      </w:r>
      <w:proofErr w:type="spellStart"/>
      <w:r>
        <w:t>україни</w:t>
      </w:r>
      <w:proofErr w:type="spellEnd"/>
      <w:r>
        <w:t xml:space="preserve"> щодо захисту інформації про </w:t>
      </w:r>
      <w:proofErr w:type="spellStart"/>
      <w:r>
        <w:t>імпортно</w:t>
      </w:r>
      <w:proofErr w:type="spellEnd"/>
      <w:r>
        <w:t xml:space="preserve">-експортні операції </w:t>
      </w:r>
      <w:proofErr w:type="spellStart"/>
      <w:r>
        <w:t>субєʼктів</w:t>
      </w:r>
      <w:proofErr w:type="spellEnd"/>
      <w:r>
        <w:t xml:space="preserve"> господарювання.</w:t>
      </w:r>
    </w:p>
    <w:p w:rsidR="00743505" w:rsidRDefault="00BD3770">
      <w:pPr>
        <w:numPr>
          <w:ilvl w:val="0"/>
          <w:numId w:val="22"/>
        </w:numPr>
        <w:spacing w:after="0"/>
      </w:pPr>
      <w:r>
        <w:t xml:space="preserve">Провести навчання посадових осіб структурних підрозділів ЛОВА щодо роботи із </w:t>
      </w:r>
      <w:proofErr w:type="spellStart"/>
      <w:r>
        <w:t>геопросторовою</w:t>
      </w:r>
      <w:proofErr w:type="spellEnd"/>
      <w:r>
        <w:t xml:space="preserve"> інформацією в системі </w:t>
      </w:r>
      <w:proofErr w:type="spellStart"/>
      <w:r>
        <w:t>ArcGis</w:t>
      </w:r>
      <w:proofErr w:type="spellEnd"/>
      <w:r>
        <w:t>: внесення та обробки такої інформації , для подальшої роботи та обміну даними в цій системі, використання цих даних для прийняття управлінських рішень.</w:t>
      </w:r>
    </w:p>
    <w:p w:rsidR="00743505" w:rsidRDefault="00BD3770">
      <w:pPr>
        <w:numPr>
          <w:ilvl w:val="0"/>
          <w:numId w:val="22"/>
        </w:numPr>
        <w:spacing w:after="0"/>
      </w:pPr>
      <w:r>
        <w:t xml:space="preserve">Управлінню з питань цифрового розвитку ЛОВА рекомендовано розглянути технічні способи та можливості інтеграції  систем: </w:t>
      </w:r>
      <w:proofErr w:type="spellStart"/>
      <w:r>
        <w:t>ArcGis</w:t>
      </w:r>
      <w:proofErr w:type="spellEnd"/>
      <w:r>
        <w:t xml:space="preserve">, Системи містобудування кадастру ЛОВА, Порталу відкритих даних Львівщини, Статистичного порталу Львівщини для обміну даними та запобігання внесенню однієї і тієї ж інформації різними </w:t>
      </w:r>
      <w:r>
        <w:lastRenderedPageBreak/>
        <w:t xml:space="preserve">структурними підрозділами в ручному режимі, дотримуючись підходу, що дані повинні вноситись в будь яку інформаційну систему один раз - далі обмін даними між системами має відбуватись автоматично або </w:t>
      </w:r>
      <w:proofErr w:type="spellStart"/>
      <w:r>
        <w:t>напівавтоматично</w:t>
      </w:r>
      <w:proofErr w:type="spellEnd"/>
    </w:p>
    <w:p w:rsidR="00743505" w:rsidRDefault="00BD3770">
      <w:pPr>
        <w:numPr>
          <w:ilvl w:val="0"/>
          <w:numId w:val="22"/>
        </w:numPr>
        <w:spacing w:after="0"/>
      </w:pPr>
      <w:r>
        <w:t xml:space="preserve">Оприлюднювати </w:t>
      </w:r>
      <w:proofErr w:type="spellStart"/>
      <w:r>
        <w:t>геопросторову</w:t>
      </w:r>
      <w:proofErr w:type="spellEnd"/>
      <w:r>
        <w:t xml:space="preserve"> інформацію, які зберігаються в системі </w:t>
      </w:r>
      <w:proofErr w:type="spellStart"/>
      <w:r>
        <w:t>ArcGis</w:t>
      </w:r>
      <w:proofErr w:type="spellEnd"/>
      <w:r>
        <w:t xml:space="preserve"> у формі відкритих даних за допомогою вбудованого АРІ системи.</w:t>
      </w:r>
    </w:p>
    <w:p w:rsidR="00743505" w:rsidRDefault="00BD3770">
      <w:pPr>
        <w:numPr>
          <w:ilvl w:val="0"/>
          <w:numId w:val="22"/>
        </w:numPr>
        <w:spacing w:after="0"/>
      </w:pPr>
      <w:r>
        <w:t>Автоматизувати отримання даних, щодо комунальних підприємств області використовуючи відкриті дані, зокрема: ЄДР, Фінансову звітність, дані Державного реєстру речових прав на нерухоме майно, Державного земельного кадастру. Для відслідковування оперативних змін в структурі підприємств, результативності їх роботи.</w:t>
      </w:r>
    </w:p>
    <w:p w:rsidR="00743505" w:rsidRDefault="00BD3770">
      <w:pPr>
        <w:numPr>
          <w:ilvl w:val="0"/>
          <w:numId w:val="22"/>
        </w:numPr>
        <w:spacing w:after="0"/>
      </w:pPr>
      <w:r>
        <w:t>Розробити автоматизовану методику оцінки ефективності роботи комунальних підприємств, установ та організацій області, із використанням відкритих даних.</w:t>
      </w:r>
    </w:p>
    <w:p w:rsidR="00743505" w:rsidRDefault="00BD3770">
      <w:pPr>
        <w:pStyle w:val="4"/>
        <w:jc w:val="left"/>
      </w:pPr>
      <w:bookmarkStart w:id="29" w:name="_u20rs37wo9xs" w:colFirst="0" w:colLast="0"/>
      <w:bookmarkEnd w:id="29"/>
      <w:r>
        <w:t>Департамент фінансів</w:t>
      </w:r>
    </w:p>
    <w:p w:rsidR="00743505" w:rsidRDefault="00BD3770">
      <w:pPr>
        <w:numPr>
          <w:ilvl w:val="0"/>
          <w:numId w:val="12"/>
        </w:numPr>
        <w:spacing w:before="240" w:after="0"/>
        <w:jc w:val="left"/>
      </w:pPr>
      <w:r>
        <w:t xml:space="preserve">Оприлюднити первинні </w:t>
      </w:r>
      <w:proofErr w:type="spellStart"/>
      <w:r>
        <w:t>машиночитані</w:t>
      </w:r>
      <w:proofErr w:type="spellEnd"/>
      <w:r>
        <w:t xml:space="preserve"> дані із системи ІАС “Місцеві бюджети” звіту “Мережа, штати та контингенти”.</w:t>
      </w:r>
    </w:p>
    <w:p w:rsidR="00743505" w:rsidRDefault="00BD3770">
      <w:pPr>
        <w:numPr>
          <w:ilvl w:val="0"/>
          <w:numId w:val="12"/>
        </w:numPr>
      </w:pPr>
      <w:r>
        <w:t>Розглянути можливість розробити систему оперативного моніторингу виконання бюджету області, бюджетів громад на основі фінансових даних із систем Є-Звітність, ІАС “Місцеві бюджети”, ІАС “</w:t>
      </w:r>
      <w:proofErr w:type="spellStart"/>
      <w:r>
        <w:t>Logica</w:t>
      </w:r>
      <w:proofErr w:type="spellEnd"/>
      <w:r>
        <w:t xml:space="preserve">” та Єдиного веб порталі використання публічних коштів. Це дозволить посадовими особам департаменту фінансів якісно та  </w:t>
      </w:r>
      <w:proofErr w:type="spellStart"/>
      <w:r>
        <w:t>оперативно</w:t>
      </w:r>
      <w:proofErr w:type="spellEnd"/>
      <w:r>
        <w:t xml:space="preserve"> виконувати їх </w:t>
      </w:r>
      <w:proofErr w:type="spellStart"/>
      <w:r>
        <w:t>обовʼязки</w:t>
      </w:r>
      <w:proofErr w:type="spellEnd"/>
      <w:r>
        <w:t xml:space="preserve">, автоматизувати частину робочих процесів </w:t>
      </w:r>
      <w:proofErr w:type="spellStart"/>
      <w:r>
        <w:t>повʼязану</w:t>
      </w:r>
      <w:proofErr w:type="spellEnd"/>
      <w:r>
        <w:t xml:space="preserve"> із створенням управлінської аналітики до того ж забезпечить простий у використання інструмент управлінської аналітики для ЛОВА.</w:t>
      </w:r>
    </w:p>
    <w:p w:rsidR="00743505" w:rsidRDefault="00BD3770">
      <w:pPr>
        <w:rPr>
          <w:b/>
        </w:rPr>
      </w:pPr>
      <w:r>
        <w:rPr>
          <w:b/>
        </w:rPr>
        <w:t xml:space="preserve">Апарат </w:t>
      </w:r>
    </w:p>
    <w:p w:rsidR="00743505" w:rsidRDefault="00BD3770">
      <w:pPr>
        <w:numPr>
          <w:ilvl w:val="0"/>
          <w:numId w:val="11"/>
        </w:numPr>
      </w:pPr>
      <w:r>
        <w:t xml:space="preserve">Розглянути можливість автоматизованого контролю за виконанням документів на основі даних системи </w:t>
      </w:r>
      <w:proofErr w:type="spellStart"/>
      <w:r>
        <w:t>Megapolis.DocNet</w:t>
      </w:r>
      <w:proofErr w:type="spellEnd"/>
    </w:p>
    <w:p w:rsidR="00743505" w:rsidRDefault="00BD3770">
      <w:pPr>
        <w:pStyle w:val="4"/>
        <w:jc w:val="left"/>
      </w:pPr>
      <w:bookmarkStart w:id="30" w:name="_fqfj4rf19ul0" w:colFirst="0" w:colLast="0"/>
      <w:bookmarkEnd w:id="30"/>
      <w:r>
        <w:t>Департамент паливно-енергетичного комплексу, енергоефективності та житлово-комунального господарства</w:t>
      </w:r>
    </w:p>
    <w:p w:rsidR="00743505" w:rsidRDefault="00BD3770">
      <w:pPr>
        <w:numPr>
          <w:ilvl w:val="0"/>
          <w:numId w:val="23"/>
        </w:numPr>
      </w:pPr>
      <w:r>
        <w:t xml:space="preserve">Налагодити процес використання та автоматизованого оприлюднення даних про споживання комунальних ресурсів комунальними закладами області із системи </w:t>
      </w:r>
      <w:proofErr w:type="spellStart"/>
      <w:r>
        <w:t>uMuni</w:t>
      </w:r>
      <w:proofErr w:type="spellEnd"/>
      <w:r>
        <w:t>.</w:t>
      </w:r>
    </w:p>
    <w:p w:rsidR="00743505" w:rsidRDefault="00743505">
      <w:pPr>
        <w:ind w:left="720"/>
      </w:pPr>
    </w:p>
    <w:p w:rsidR="00743505" w:rsidRDefault="00BD3770">
      <w:pPr>
        <w:spacing w:after="20"/>
        <w:ind w:left="-20"/>
        <w:rPr>
          <w:b/>
        </w:rPr>
      </w:pPr>
      <w:proofErr w:type="spellStart"/>
      <w:r>
        <w:rPr>
          <w:b/>
        </w:rPr>
        <w:t>Т.в.о</w:t>
      </w:r>
      <w:proofErr w:type="spellEnd"/>
      <w:r>
        <w:rPr>
          <w:b/>
        </w:rPr>
        <w:t>. начальника управління з питань</w:t>
      </w:r>
    </w:p>
    <w:p w:rsidR="00743505" w:rsidRDefault="00BD3770">
      <w:pPr>
        <w:spacing w:after="20"/>
        <w:ind w:left="-20"/>
        <w:rPr>
          <w:b/>
        </w:rPr>
      </w:pPr>
      <w:r>
        <w:rPr>
          <w:b/>
        </w:rPr>
        <w:t xml:space="preserve">цифрового розвитку облдержадміністрації                         </w:t>
      </w:r>
      <w:r>
        <w:rPr>
          <w:b/>
        </w:rPr>
        <w:tab/>
        <w:t xml:space="preserve">        </w:t>
      </w:r>
      <w:r>
        <w:rPr>
          <w:b/>
        </w:rPr>
        <w:tab/>
        <w:t xml:space="preserve"> Наталія ХОМИК</w:t>
      </w:r>
    </w:p>
    <w:p w:rsidR="00743505" w:rsidRDefault="00743505">
      <w:pPr>
        <w:rPr>
          <w:b/>
        </w:rPr>
      </w:pPr>
    </w:p>
    <w:p w:rsidR="00743505" w:rsidRDefault="00743505">
      <w:pPr>
        <w:sectPr w:rsidR="00743505" w:rsidSect="008851AE">
          <w:headerReference w:type="default" r:id="rId21"/>
          <w:pgSz w:w="11909" w:h="16834"/>
          <w:pgMar w:top="566" w:right="1133" w:bottom="1133" w:left="1133" w:header="720" w:footer="720" w:gutter="0"/>
          <w:pgNumType w:start="1"/>
          <w:cols w:space="720"/>
          <w:titlePg/>
          <w:docGrid w:linePitch="326"/>
        </w:sectPr>
      </w:pPr>
    </w:p>
    <w:p w:rsidR="00743505" w:rsidRDefault="00BD3770">
      <w:pPr>
        <w:pStyle w:val="2"/>
        <w:widowControl w:val="0"/>
        <w:spacing w:before="240" w:after="240"/>
        <w:ind w:right="-607"/>
      </w:pPr>
      <w:bookmarkStart w:id="31" w:name="_q89ubkj0wggl" w:colFirst="0" w:colLast="0"/>
      <w:bookmarkEnd w:id="31"/>
      <w:r>
        <w:lastRenderedPageBreak/>
        <w:t>Додатки</w:t>
      </w:r>
    </w:p>
    <w:p w:rsidR="00743505" w:rsidRDefault="00BD3770">
      <w:pPr>
        <w:pStyle w:val="4"/>
      </w:pPr>
      <w:bookmarkStart w:id="32" w:name="_be9yat65bs9e" w:colFirst="0" w:colLast="0"/>
      <w:bookmarkEnd w:id="32"/>
      <w:r>
        <w:t>Додаток 1. Перелік реєстрів ЛОВА</w:t>
      </w:r>
    </w:p>
    <w:tbl>
      <w:tblPr>
        <w:tblStyle w:val="a8"/>
        <w:tblW w:w="1486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070"/>
        <w:gridCol w:w="2760"/>
        <w:gridCol w:w="5520"/>
        <w:gridCol w:w="2805"/>
        <w:gridCol w:w="1710"/>
      </w:tblGrid>
      <w:tr w:rsidR="00743505">
        <w:trPr>
          <w:trHeight w:val="1185"/>
        </w:trPr>
        <w:tc>
          <w:tcPr>
            <w:tcW w:w="2070"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tcPr>
          <w:p w:rsidR="00743505" w:rsidRDefault="00BD3770">
            <w:pPr>
              <w:widowControl w:val="0"/>
              <w:ind w:right="-287"/>
              <w:jc w:val="left"/>
            </w:pPr>
            <w:r>
              <w:t>Департамент архітектури та розвитку містобудування</w:t>
            </w:r>
          </w:p>
        </w:tc>
        <w:tc>
          <w:tcPr>
            <w:tcW w:w="276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20"/>
              <w:jc w:val="left"/>
            </w:pPr>
            <w:r>
              <w:t>Перелік об’єктів культурної спадщини Львівської області</w:t>
            </w:r>
          </w:p>
        </w:tc>
        <w:tc>
          <w:tcPr>
            <w:tcW w:w="552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61"/>
              <w:jc w:val="left"/>
            </w:pPr>
            <w:r>
              <w:t>Порядок обліку об’єктів культурної спадщини (Наказ Мінкультури 11.03.2013 р. № 158 (у ред. наказу Міністерства культури України від 27.06.2019 р. № 510))</w:t>
            </w:r>
          </w:p>
        </w:tc>
        <w:tc>
          <w:tcPr>
            <w:tcW w:w="2805"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17"/>
              <w:jc w:val="left"/>
            </w:pPr>
            <w:r>
              <w:t>Департамент архітектури та розвитку містобудування</w:t>
            </w:r>
          </w:p>
        </w:tc>
        <w:tc>
          <w:tcPr>
            <w:tcW w:w="1710"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145"/>
              <w:jc w:val="left"/>
            </w:pPr>
            <w:r>
              <w:t>Електронний</w:t>
            </w:r>
          </w:p>
        </w:tc>
      </w:tr>
      <w:tr w:rsidR="00743505">
        <w:trPr>
          <w:trHeight w:val="2340"/>
        </w:trPr>
        <w:tc>
          <w:tcPr>
            <w:tcW w:w="207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tcPr>
          <w:p w:rsidR="00743505" w:rsidRDefault="00BD3770">
            <w:pPr>
              <w:widowControl w:val="0"/>
              <w:ind w:right="-145"/>
              <w:jc w:val="left"/>
            </w:pPr>
            <w:r>
              <w:t>Департамент дорожнього господарства</w:t>
            </w:r>
          </w:p>
        </w:tc>
        <w:tc>
          <w:tcPr>
            <w:tcW w:w="276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20"/>
              <w:jc w:val="left"/>
            </w:pPr>
            <w:r>
              <w:t>Реєстр обліку видачі дозволів (відмов, анулювання, переоформлення) на розміщення зовнішньої реклами поза межами населених пунктів</w:t>
            </w:r>
          </w:p>
        </w:tc>
        <w:tc>
          <w:tcPr>
            <w:tcW w:w="552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61"/>
              <w:jc w:val="left"/>
            </w:pPr>
            <w:r>
              <w:t>Порядок надання дозволів на розміщення зовнішньої реклами поза межами населених пунктів Львівської області, затверджений розпорядженням голови Львівської обласної державної адміністрації 07 жовтня 2015 року №577/0/5-15 (у редакції розпорядження голови Львівської обласної державної адміністрації 13 квітня 2020 р. №252/0/5-20)</w:t>
            </w:r>
          </w:p>
        </w:tc>
        <w:tc>
          <w:tcPr>
            <w:tcW w:w="280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17"/>
              <w:jc w:val="left"/>
            </w:pPr>
            <w:r>
              <w:t>Сектор безпеки дорожнього руху управління ремонтів та експлуатаційного утримання автомобільних доріг департаменту дорожнього господарства</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145"/>
              <w:jc w:val="left"/>
            </w:pPr>
            <w:r>
              <w:t>Електронний</w:t>
            </w:r>
          </w:p>
        </w:tc>
      </w:tr>
      <w:tr w:rsidR="00743505">
        <w:trPr>
          <w:trHeight w:val="2115"/>
        </w:trPr>
        <w:tc>
          <w:tcPr>
            <w:tcW w:w="207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tcPr>
          <w:p w:rsidR="00743505" w:rsidRDefault="00BD3770">
            <w:pPr>
              <w:widowControl w:val="0"/>
              <w:ind w:right="-145"/>
              <w:jc w:val="left"/>
            </w:pPr>
            <w:r>
              <w:t>Департамент екології та природних ресурсів</w:t>
            </w:r>
          </w:p>
        </w:tc>
        <w:tc>
          <w:tcPr>
            <w:tcW w:w="276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20"/>
              <w:jc w:val="left"/>
            </w:pPr>
            <w:r>
              <w:t>Реєстр місць видалення відходів (МВВ) у Львівській області</w:t>
            </w:r>
          </w:p>
        </w:tc>
        <w:tc>
          <w:tcPr>
            <w:tcW w:w="552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61"/>
              <w:jc w:val="left"/>
            </w:pPr>
            <w:r>
              <w:t>Постанова КМУ від 03.08.1998 № 1216 « Про затвердження Порядку ведення реєстру місць видалення відходів»; Наказ Міністерства охорони навколишнього природного середовища та ядерної безпеки України від 14.01.1999 № 12 «Про затвердження Інструкції про зміст і складання паспорта місць видалення відходів»</w:t>
            </w:r>
          </w:p>
        </w:tc>
        <w:tc>
          <w:tcPr>
            <w:tcW w:w="280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17"/>
              <w:jc w:val="left"/>
            </w:pPr>
            <w:r>
              <w:t>Відділ регулювання природокористування та погоджувальної діяльності</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145"/>
              <w:jc w:val="left"/>
            </w:pPr>
            <w:r>
              <w:t>Електронний</w:t>
            </w:r>
          </w:p>
        </w:tc>
      </w:tr>
      <w:tr w:rsidR="00743505">
        <w:trPr>
          <w:trHeight w:val="4905"/>
        </w:trPr>
        <w:tc>
          <w:tcPr>
            <w:tcW w:w="207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tcPr>
          <w:p w:rsidR="00743505" w:rsidRDefault="00BD3770">
            <w:pPr>
              <w:widowControl w:val="0"/>
              <w:ind w:right="-145"/>
              <w:jc w:val="left"/>
            </w:pPr>
            <w:r>
              <w:lastRenderedPageBreak/>
              <w:t>Департамент екології та природних ресурсів</w:t>
            </w:r>
          </w:p>
        </w:tc>
        <w:tc>
          <w:tcPr>
            <w:tcW w:w="276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20"/>
              <w:jc w:val="left"/>
            </w:pPr>
            <w:r>
              <w:t>Реєстр об’єктів утворення, оброблення та утилізації відходів</w:t>
            </w:r>
          </w:p>
        </w:tc>
        <w:tc>
          <w:tcPr>
            <w:tcW w:w="552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61"/>
              <w:jc w:val="left"/>
            </w:pPr>
            <w:r>
              <w:t>Постанова КМУ від 03.08.1998 № 1216 « Про затвердження Порядку ведення реєстру місць видалення відходів»; Наказ Міністерства охорони навколишнього природного середовища та ядерної безпеки України від 14.01.1999 № 12 «Про затвердження Інструкції про зміст і складання паспорта місць видалення відходів» Постанова КМУ від 31.08.1998 № 1360 « Про затвердження Порядку ведення реєстру об’єктів утворення, оброблення та утилізації відходів»; Наказ Міністерства охорони навколишнього природного середовища та ядерної безпеки України від 17.02.1999 № 41 «Про затвердження форми реєстрової форми реєстрової карти об’єктів утворення, оброблення та утилізації відходів та Інструкція щодо її складання»</w:t>
            </w:r>
          </w:p>
        </w:tc>
        <w:tc>
          <w:tcPr>
            <w:tcW w:w="280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17"/>
              <w:jc w:val="left"/>
            </w:pPr>
            <w:r>
              <w:t>Відділ регулювання природокористування та погоджувальної діяльності</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145"/>
              <w:jc w:val="left"/>
            </w:pPr>
            <w:r>
              <w:t>Електронний</w:t>
            </w:r>
          </w:p>
        </w:tc>
      </w:tr>
      <w:tr w:rsidR="00743505">
        <w:trPr>
          <w:trHeight w:val="1410"/>
        </w:trPr>
        <w:tc>
          <w:tcPr>
            <w:tcW w:w="207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tcPr>
          <w:p w:rsidR="00743505" w:rsidRDefault="00BD3770">
            <w:pPr>
              <w:widowControl w:val="0"/>
              <w:ind w:right="-145"/>
              <w:jc w:val="left"/>
            </w:pPr>
            <w:r>
              <w:t>Департамент освіти і науки</w:t>
            </w:r>
          </w:p>
        </w:tc>
        <w:tc>
          <w:tcPr>
            <w:tcW w:w="276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20"/>
              <w:jc w:val="left"/>
            </w:pPr>
            <w:r>
              <w:t>Реєстр результатів спеціальної перевірки відомостей щодо освіти, наявності у кандидата наукового ступеня, вченого звання</w:t>
            </w:r>
          </w:p>
        </w:tc>
        <w:tc>
          <w:tcPr>
            <w:tcW w:w="552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61"/>
              <w:jc w:val="left"/>
            </w:pPr>
            <w:r>
              <w:t>Постанова КМУ від 25.03.2015 № 171 «Про затвердження Порядку проведення спеціальної перевірки ….»</w:t>
            </w:r>
          </w:p>
        </w:tc>
        <w:tc>
          <w:tcPr>
            <w:tcW w:w="280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17"/>
              <w:jc w:val="left"/>
            </w:pPr>
            <w:r>
              <w:t>Департамент освіти і науки</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145"/>
              <w:jc w:val="left"/>
            </w:pPr>
            <w:r>
              <w:t>Паперовий</w:t>
            </w:r>
          </w:p>
        </w:tc>
      </w:tr>
      <w:tr w:rsidR="00743505">
        <w:trPr>
          <w:trHeight w:val="945"/>
        </w:trPr>
        <w:tc>
          <w:tcPr>
            <w:tcW w:w="207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tcPr>
          <w:p w:rsidR="00743505" w:rsidRDefault="00BD3770">
            <w:pPr>
              <w:widowControl w:val="0"/>
              <w:ind w:right="-145"/>
              <w:jc w:val="left"/>
            </w:pPr>
            <w:r>
              <w:t>Департамент освіти і науки</w:t>
            </w:r>
          </w:p>
        </w:tc>
        <w:tc>
          <w:tcPr>
            <w:tcW w:w="276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20"/>
              <w:jc w:val="left"/>
            </w:pPr>
            <w:r>
              <w:t>Реєстр виданих розпоряджень голови ЛОДА щодо надання освітніх послуг</w:t>
            </w:r>
          </w:p>
        </w:tc>
        <w:tc>
          <w:tcPr>
            <w:tcW w:w="552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61"/>
              <w:jc w:val="left"/>
            </w:pPr>
            <w:r>
              <w:t>Закон України «Про ліцензування видів господарської діяльності» від 02.05.2015 № 222</w:t>
            </w:r>
          </w:p>
        </w:tc>
        <w:tc>
          <w:tcPr>
            <w:tcW w:w="280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17"/>
              <w:jc w:val="left"/>
            </w:pPr>
            <w:r>
              <w:t>Департамент освіти і науки</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145"/>
              <w:jc w:val="left"/>
            </w:pPr>
            <w:r>
              <w:t>Електронний</w:t>
            </w:r>
          </w:p>
        </w:tc>
      </w:tr>
      <w:tr w:rsidR="00743505">
        <w:trPr>
          <w:trHeight w:val="720"/>
        </w:trPr>
        <w:tc>
          <w:tcPr>
            <w:tcW w:w="207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tcPr>
          <w:p w:rsidR="00743505" w:rsidRDefault="00BD3770">
            <w:pPr>
              <w:widowControl w:val="0"/>
              <w:ind w:right="-145"/>
              <w:jc w:val="left"/>
            </w:pPr>
            <w:r>
              <w:lastRenderedPageBreak/>
              <w:t>Департамент паливно-енергетичного комплексу, енергоефективності та житлово-комунального господарства</w:t>
            </w:r>
          </w:p>
        </w:tc>
        <w:tc>
          <w:tcPr>
            <w:tcW w:w="276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20"/>
              <w:jc w:val="left"/>
            </w:pPr>
            <w:r>
              <w:t>Реєстр суб'єктів господарювання у сфері теплопостачання</w:t>
            </w:r>
          </w:p>
        </w:tc>
        <w:tc>
          <w:tcPr>
            <w:tcW w:w="552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61"/>
              <w:jc w:val="left"/>
            </w:pPr>
            <w:r>
              <w:t>Закон України “Про ліцензування видів господарської діяльності”</w:t>
            </w:r>
          </w:p>
        </w:tc>
        <w:tc>
          <w:tcPr>
            <w:tcW w:w="280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17"/>
              <w:jc w:val="left"/>
            </w:pPr>
            <w:r>
              <w:t>Департамент паливно-енергетичного комплексу, енергоефективності та житлово-комунального господарства</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145"/>
              <w:jc w:val="left"/>
            </w:pPr>
            <w:r>
              <w:t>Електронний</w:t>
            </w:r>
          </w:p>
        </w:tc>
      </w:tr>
      <w:tr w:rsidR="00743505">
        <w:trPr>
          <w:trHeight w:val="945"/>
        </w:trPr>
        <w:tc>
          <w:tcPr>
            <w:tcW w:w="207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tcPr>
          <w:p w:rsidR="00743505" w:rsidRDefault="00BD3770">
            <w:pPr>
              <w:widowControl w:val="0"/>
              <w:ind w:right="-145"/>
              <w:jc w:val="left"/>
            </w:pPr>
            <w:r>
              <w:t>Департамент паливно-енергетичного комплексу, енергоефективності та житлово-комунального господарства</w:t>
            </w:r>
          </w:p>
        </w:tc>
        <w:tc>
          <w:tcPr>
            <w:tcW w:w="276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20"/>
              <w:jc w:val="left"/>
            </w:pPr>
            <w:r>
              <w:t>Реєстр суб'єктів господарювання у сфері водопостачання та водовідведення</w:t>
            </w:r>
          </w:p>
        </w:tc>
        <w:tc>
          <w:tcPr>
            <w:tcW w:w="552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61"/>
              <w:jc w:val="left"/>
            </w:pPr>
            <w:r>
              <w:t xml:space="preserve">Закон </w:t>
            </w:r>
            <w:proofErr w:type="spellStart"/>
            <w:r>
              <w:t>України“Про</w:t>
            </w:r>
            <w:proofErr w:type="spellEnd"/>
            <w:r>
              <w:t xml:space="preserve"> ліцензування видів господарської діяльності”</w:t>
            </w:r>
          </w:p>
        </w:tc>
        <w:tc>
          <w:tcPr>
            <w:tcW w:w="280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17"/>
              <w:jc w:val="left"/>
            </w:pPr>
            <w:r>
              <w:t>Департамент паливно-енергетичного комплексу, енергоефективності та житлово-комунального господарства</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145"/>
              <w:jc w:val="left"/>
            </w:pPr>
            <w:r>
              <w:t>Електронний</w:t>
            </w:r>
          </w:p>
        </w:tc>
      </w:tr>
      <w:tr w:rsidR="00743505">
        <w:trPr>
          <w:trHeight w:val="1185"/>
        </w:trPr>
        <w:tc>
          <w:tcPr>
            <w:tcW w:w="207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tcPr>
          <w:p w:rsidR="00743505" w:rsidRDefault="00BD3770">
            <w:pPr>
              <w:widowControl w:val="0"/>
              <w:ind w:right="-145"/>
              <w:jc w:val="left"/>
            </w:pPr>
            <w:r>
              <w:t>Державний архів Львівської області</w:t>
            </w:r>
          </w:p>
        </w:tc>
        <w:tc>
          <w:tcPr>
            <w:tcW w:w="276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20"/>
              <w:jc w:val="left"/>
            </w:pPr>
            <w:r>
              <w:t>Анотований реєстр описів фондів періоду окупації України нацистською Німеччиною (1941–1944 роки)</w:t>
            </w:r>
          </w:p>
        </w:tc>
        <w:tc>
          <w:tcPr>
            <w:tcW w:w="552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61"/>
              <w:jc w:val="left"/>
            </w:pPr>
            <w:r>
              <w:t xml:space="preserve">Наказ </w:t>
            </w:r>
            <w:proofErr w:type="spellStart"/>
            <w:r>
              <w:t>Держкомархіву</w:t>
            </w:r>
            <w:proofErr w:type="spellEnd"/>
            <w:r>
              <w:t xml:space="preserve"> № 72 від 27.11.2000 р.</w:t>
            </w:r>
          </w:p>
        </w:tc>
        <w:tc>
          <w:tcPr>
            <w:tcW w:w="280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17"/>
              <w:jc w:val="left"/>
            </w:pPr>
            <w:r>
              <w:t>Заступник директора, Відділ зберігання фондів</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145"/>
              <w:jc w:val="left"/>
            </w:pPr>
            <w:r>
              <w:t>Електронний</w:t>
            </w:r>
          </w:p>
        </w:tc>
      </w:tr>
      <w:tr w:rsidR="00743505">
        <w:trPr>
          <w:trHeight w:val="2580"/>
        </w:trPr>
        <w:tc>
          <w:tcPr>
            <w:tcW w:w="207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tcPr>
          <w:p w:rsidR="00743505" w:rsidRDefault="00BD3770">
            <w:pPr>
              <w:widowControl w:val="0"/>
              <w:ind w:right="-145"/>
              <w:jc w:val="left"/>
            </w:pPr>
            <w:r>
              <w:lastRenderedPageBreak/>
              <w:t>Державний архів Львівської області</w:t>
            </w:r>
          </w:p>
        </w:tc>
        <w:tc>
          <w:tcPr>
            <w:tcW w:w="276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20"/>
              <w:jc w:val="left"/>
            </w:pPr>
            <w:r>
              <w:t>Список ліквідованих установ , підприємств і організацій державної та приватної форми власності у Львівській області, документи з особового складу яких надійшли на державне зберігання до архівних Відділів міських рад, райдержадміністрацій та трудових архівів</w:t>
            </w:r>
          </w:p>
        </w:tc>
        <w:tc>
          <w:tcPr>
            <w:tcW w:w="552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61"/>
              <w:jc w:val="left"/>
            </w:pPr>
            <w:r>
              <w:t>Закон України «Про Національний архівний фонд та архівні установи», ст.28. 29</w:t>
            </w:r>
            <w:bookmarkStart w:id="33" w:name="_GoBack"/>
            <w:bookmarkEnd w:id="33"/>
          </w:p>
        </w:tc>
        <w:tc>
          <w:tcPr>
            <w:tcW w:w="280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17"/>
              <w:jc w:val="left"/>
            </w:pPr>
            <w:r>
              <w:t>Державний архів Львівської області, архівні Відділи РДА та міських рад</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145"/>
              <w:jc w:val="left"/>
            </w:pPr>
            <w:r>
              <w:t>Електронний</w:t>
            </w:r>
          </w:p>
        </w:tc>
      </w:tr>
      <w:tr w:rsidR="00743505">
        <w:trPr>
          <w:trHeight w:val="945"/>
        </w:trPr>
        <w:tc>
          <w:tcPr>
            <w:tcW w:w="207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tcPr>
          <w:p w:rsidR="00743505" w:rsidRDefault="00BD3770">
            <w:pPr>
              <w:widowControl w:val="0"/>
              <w:ind w:right="-145"/>
              <w:jc w:val="left"/>
            </w:pPr>
            <w:r>
              <w:t>Державний архів Львівської області</w:t>
            </w:r>
          </w:p>
        </w:tc>
        <w:tc>
          <w:tcPr>
            <w:tcW w:w="276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20"/>
              <w:jc w:val="left"/>
            </w:pPr>
            <w:r>
              <w:t>Список юридичних осіб- джерел формування НАФ, які передають документи до архіву</w:t>
            </w:r>
          </w:p>
        </w:tc>
        <w:tc>
          <w:tcPr>
            <w:tcW w:w="552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61"/>
              <w:jc w:val="left"/>
            </w:pPr>
            <w:r>
              <w:t>Правила роботи архівних установ України, наказ Мінюсту України від 08.04.2013 р.</w:t>
            </w:r>
          </w:p>
        </w:tc>
        <w:tc>
          <w:tcPr>
            <w:tcW w:w="280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17"/>
              <w:jc w:val="left"/>
            </w:pPr>
            <w:r>
              <w:t>Відділ формування НАФ та діловодства</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145"/>
              <w:jc w:val="left"/>
            </w:pPr>
            <w:r>
              <w:t>Паперовий, електронний</w:t>
            </w:r>
          </w:p>
        </w:tc>
      </w:tr>
      <w:tr w:rsidR="00743505">
        <w:trPr>
          <w:trHeight w:val="1185"/>
        </w:trPr>
        <w:tc>
          <w:tcPr>
            <w:tcW w:w="207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tcPr>
          <w:p w:rsidR="00743505" w:rsidRDefault="00BD3770">
            <w:pPr>
              <w:widowControl w:val="0"/>
              <w:ind w:right="-145"/>
              <w:jc w:val="left"/>
            </w:pPr>
            <w:r>
              <w:t>Державний архів Львівської області</w:t>
            </w:r>
          </w:p>
        </w:tc>
        <w:tc>
          <w:tcPr>
            <w:tcW w:w="276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20"/>
              <w:jc w:val="left"/>
            </w:pPr>
            <w:r>
              <w:t>Список архівних фондів репресивних органів комуністичного тоталітарного режиму за період 1917-1991 роки</w:t>
            </w:r>
          </w:p>
        </w:tc>
        <w:tc>
          <w:tcPr>
            <w:tcW w:w="552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61"/>
              <w:jc w:val="left"/>
            </w:pPr>
            <w:r>
              <w:t>Закон України від 9 квітня 2015 року № 316-VIII «Про доступ до архівів репресивних органів комуністичного тоталітарного режиму 1917-1991 років»</w:t>
            </w:r>
          </w:p>
        </w:tc>
        <w:tc>
          <w:tcPr>
            <w:tcW w:w="280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17"/>
              <w:jc w:val="left"/>
            </w:pPr>
            <w:r>
              <w:t>Відділ обліку та довідкового апарату</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145"/>
              <w:jc w:val="left"/>
            </w:pPr>
            <w:r>
              <w:t>Електронний</w:t>
            </w:r>
          </w:p>
        </w:tc>
      </w:tr>
      <w:tr w:rsidR="00743505">
        <w:trPr>
          <w:trHeight w:val="1410"/>
        </w:trPr>
        <w:tc>
          <w:tcPr>
            <w:tcW w:w="207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tcPr>
          <w:p w:rsidR="00743505" w:rsidRDefault="00BD3770">
            <w:pPr>
              <w:widowControl w:val="0"/>
              <w:ind w:right="-145"/>
              <w:jc w:val="left"/>
            </w:pPr>
            <w:r>
              <w:t>Шептицька РДА</w:t>
            </w:r>
          </w:p>
        </w:tc>
        <w:tc>
          <w:tcPr>
            <w:tcW w:w="276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20"/>
              <w:jc w:val="left"/>
            </w:pPr>
            <w:r>
              <w:t>Система ведення книги реєстрації землеволодінь і землекористувань в умовах воєнного стану</w:t>
            </w:r>
          </w:p>
        </w:tc>
        <w:tc>
          <w:tcPr>
            <w:tcW w:w="552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61"/>
              <w:jc w:val="left"/>
            </w:pPr>
            <w:r>
              <w:t>Закон України "Про внесення змін до деяких законодавчих актів України щодо створення умов для забезпечення продовольчої безпеки в умовах воєнного стану" від 24.03.2022 № 2145-IX</w:t>
            </w:r>
          </w:p>
        </w:tc>
        <w:tc>
          <w:tcPr>
            <w:tcW w:w="280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17"/>
              <w:jc w:val="left"/>
            </w:pPr>
            <w:r>
              <w:t xml:space="preserve">Відділ екології, земельних ресурсів та агропромислового розвитку Шептицької районної державної </w:t>
            </w:r>
            <w:r>
              <w:lastRenderedPageBreak/>
              <w:t>адміністрації</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145"/>
              <w:jc w:val="left"/>
            </w:pPr>
            <w:r>
              <w:lastRenderedPageBreak/>
              <w:t>Електронний, паперовий</w:t>
            </w:r>
          </w:p>
        </w:tc>
      </w:tr>
      <w:tr w:rsidR="00743505">
        <w:trPr>
          <w:trHeight w:val="1410"/>
        </w:trPr>
        <w:tc>
          <w:tcPr>
            <w:tcW w:w="207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tcPr>
          <w:p w:rsidR="00743505" w:rsidRDefault="00BD3770">
            <w:pPr>
              <w:widowControl w:val="0"/>
              <w:ind w:right="-145"/>
              <w:jc w:val="left"/>
            </w:pPr>
            <w:r>
              <w:lastRenderedPageBreak/>
              <w:t>Яворівська РДА</w:t>
            </w:r>
          </w:p>
        </w:tc>
        <w:tc>
          <w:tcPr>
            <w:tcW w:w="276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20"/>
              <w:jc w:val="left"/>
            </w:pPr>
            <w:r>
              <w:t>Система ведення книги реєстрації землеволодінь і землекористувань в умовах воєнного стану</w:t>
            </w:r>
          </w:p>
        </w:tc>
        <w:tc>
          <w:tcPr>
            <w:tcW w:w="552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61"/>
              <w:jc w:val="left"/>
            </w:pPr>
            <w:r>
              <w:t>Закон України "Про внесення змін до деяких законодавчих актів України щодо створення умов для забезпечення продовольчої безпеки в умовах воєнного стану" від 24.03.2022 № 2145-IX</w:t>
            </w:r>
          </w:p>
        </w:tc>
        <w:tc>
          <w:tcPr>
            <w:tcW w:w="280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17"/>
              <w:jc w:val="left"/>
            </w:pPr>
            <w:r>
              <w:t xml:space="preserve">Державний реєстратор </w:t>
            </w:r>
            <w:proofErr w:type="spellStart"/>
            <w:r>
              <w:t>Мазяр</w:t>
            </w:r>
            <w:proofErr w:type="spellEnd"/>
            <w:r>
              <w:t xml:space="preserve"> І.Є.</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145"/>
              <w:jc w:val="left"/>
            </w:pPr>
            <w:r>
              <w:t>Електронний, паперовий</w:t>
            </w:r>
          </w:p>
        </w:tc>
      </w:tr>
      <w:tr w:rsidR="00743505">
        <w:trPr>
          <w:trHeight w:val="1410"/>
        </w:trPr>
        <w:tc>
          <w:tcPr>
            <w:tcW w:w="207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tcPr>
          <w:p w:rsidR="00743505" w:rsidRDefault="00BD3770">
            <w:pPr>
              <w:widowControl w:val="0"/>
              <w:ind w:right="-145"/>
              <w:jc w:val="left"/>
            </w:pPr>
            <w:r>
              <w:t>Самбірська РДА</w:t>
            </w:r>
          </w:p>
        </w:tc>
        <w:tc>
          <w:tcPr>
            <w:tcW w:w="276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20"/>
              <w:jc w:val="left"/>
            </w:pPr>
            <w:r>
              <w:t>Реєстр галузевих (міжгалузевих) територіальних угод, колективних договорів</w:t>
            </w:r>
          </w:p>
        </w:tc>
        <w:tc>
          <w:tcPr>
            <w:tcW w:w="552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61"/>
              <w:jc w:val="left"/>
            </w:pPr>
            <w:r>
              <w:t>Постанова Кабінету Міністрів України від 13 лютого 2013 року № 115 «Про порядок повідомної реєстрації галузевих (міжгалузевих) і територіальних угод, колективних договорів»</w:t>
            </w:r>
          </w:p>
        </w:tc>
        <w:tc>
          <w:tcPr>
            <w:tcW w:w="280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17"/>
              <w:jc w:val="left"/>
            </w:pPr>
            <w:r>
              <w:t>Управління соціально-економічного розвитку Самбірської районної державної адміністрації</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145"/>
              <w:jc w:val="left"/>
            </w:pPr>
            <w:r>
              <w:t>Паперовий</w:t>
            </w:r>
          </w:p>
        </w:tc>
      </w:tr>
      <w:tr w:rsidR="00743505">
        <w:trPr>
          <w:trHeight w:val="1410"/>
        </w:trPr>
        <w:tc>
          <w:tcPr>
            <w:tcW w:w="207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tcPr>
          <w:p w:rsidR="00743505" w:rsidRDefault="00BD3770">
            <w:pPr>
              <w:widowControl w:val="0"/>
              <w:ind w:right="-145"/>
              <w:jc w:val="left"/>
            </w:pPr>
            <w:proofErr w:type="spellStart"/>
            <w:r>
              <w:t>Стрийська</w:t>
            </w:r>
            <w:proofErr w:type="spellEnd"/>
            <w:r>
              <w:t xml:space="preserve"> РДА</w:t>
            </w:r>
          </w:p>
        </w:tc>
        <w:tc>
          <w:tcPr>
            <w:tcW w:w="276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20"/>
              <w:jc w:val="left"/>
            </w:pPr>
            <w:r>
              <w:t>Реєстр галузевих (міжгалузевих) територіальних угод, колективних договорів</w:t>
            </w:r>
          </w:p>
        </w:tc>
        <w:tc>
          <w:tcPr>
            <w:tcW w:w="552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61"/>
              <w:jc w:val="left"/>
            </w:pPr>
            <w:r>
              <w:t>Постанова Кабінету Міністрів України від 13 лютого 2013 року № 115 «Про порядок повідомної реєстрації галузевих (міжгалузевих) і територіальних угод, колективних договорів»</w:t>
            </w:r>
          </w:p>
        </w:tc>
        <w:tc>
          <w:tcPr>
            <w:tcW w:w="280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17"/>
              <w:jc w:val="left"/>
            </w:pPr>
            <w:r>
              <w:t>Відділ аналізу та прогнозування управління економіки</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145"/>
              <w:jc w:val="left"/>
            </w:pPr>
            <w:r>
              <w:t>Паперовий</w:t>
            </w:r>
          </w:p>
        </w:tc>
      </w:tr>
      <w:tr w:rsidR="00743505">
        <w:trPr>
          <w:trHeight w:val="1410"/>
        </w:trPr>
        <w:tc>
          <w:tcPr>
            <w:tcW w:w="2070"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tcPr>
          <w:p w:rsidR="00743505" w:rsidRDefault="00BD3770">
            <w:pPr>
              <w:widowControl w:val="0"/>
              <w:ind w:right="-145"/>
              <w:jc w:val="left"/>
            </w:pPr>
            <w:proofErr w:type="spellStart"/>
            <w:r>
              <w:t>Стрийська</w:t>
            </w:r>
            <w:proofErr w:type="spellEnd"/>
            <w:r>
              <w:t xml:space="preserve"> РДА</w:t>
            </w:r>
          </w:p>
        </w:tc>
        <w:tc>
          <w:tcPr>
            <w:tcW w:w="276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20"/>
              <w:jc w:val="left"/>
            </w:pPr>
            <w:r>
              <w:t>Система ведення книги реєстрації землеволодінь і землекористувань в умовах воєнного стану</w:t>
            </w:r>
          </w:p>
        </w:tc>
        <w:tc>
          <w:tcPr>
            <w:tcW w:w="552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61"/>
              <w:jc w:val="left"/>
            </w:pPr>
            <w:r>
              <w:t>Закон України "Про внесення змін до деяких законодавчих актів України щодо створення умов для забезпечення продовольчої безпеки в умовах воєнного стану" від 24.03.2022 № 2145-IX</w:t>
            </w:r>
          </w:p>
        </w:tc>
        <w:tc>
          <w:tcPr>
            <w:tcW w:w="280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17"/>
              <w:jc w:val="left"/>
            </w:pPr>
            <w:r>
              <w:t xml:space="preserve">Відділ екології, земельних відносин </w:t>
            </w:r>
            <w:proofErr w:type="spellStart"/>
            <w:r>
              <w:t>Стрийської</w:t>
            </w:r>
            <w:proofErr w:type="spellEnd"/>
            <w:r>
              <w:t xml:space="preserve"> РДА</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743505" w:rsidRDefault="00BD3770">
            <w:pPr>
              <w:widowControl w:val="0"/>
              <w:ind w:right="-145"/>
              <w:jc w:val="left"/>
            </w:pPr>
            <w:r>
              <w:t>Електронний, паперовий</w:t>
            </w:r>
          </w:p>
        </w:tc>
      </w:tr>
    </w:tbl>
    <w:p w:rsidR="00743505" w:rsidRDefault="00743505">
      <w:pPr>
        <w:ind w:right="-607"/>
      </w:pPr>
    </w:p>
    <w:sectPr w:rsidR="00743505">
      <w:pgSz w:w="16834" w:h="11909" w:orient="landscape"/>
      <w:pgMar w:top="1133" w:right="1133" w:bottom="1133" w:left="113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58CE" w:rsidRDefault="007358CE">
      <w:pPr>
        <w:spacing w:after="0" w:line="240" w:lineRule="auto"/>
      </w:pPr>
      <w:r>
        <w:separator/>
      </w:r>
    </w:p>
  </w:endnote>
  <w:endnote w:type="continuationSeparator" w:id="0">
    <w:p w:rsidR="007358CE" w:rsidRDefault="007358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58CE" w:rsidRDefault="007358CE">
      <w:pPr>
        <w:spacing w:after="0" w:line="240" w:lineRule="auto"/>
      </w:pPr>
      <w:r>
        <w:separator/>
      </w:r>
    </w:p>
  </w:footnote>
  <w:footnote w:type="continuationSeparator" w:id="0">
    <w:p w:rsidR="007358CE" w:rsidRDefault="007358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173524"/>
      <w:docPartObj>
        <w:docPartGallery w:val="Page Numbers (Top of Page)"/>
        <w:docPartUnique/>
      </w:docPartObj>
    </w:sdtPr>
    <w:sdtEndPr>
      <w:rPr>
        <w:noProof/>
      </w:rPr>
    </w:sdtEndPr>
    <w:sdtContent>
      <w:p w:rsidR="008851AE" w:rsidRDefault="008851AE">
        <w:pPr>
          <w:pStyle w:val="a9"/>
          <w:jc w:val="center"/>
        </w:pPr>
        <w:r>
          <w:fldChar w:fldCharType="begin"/>
        </w:r>
        <w:r>
          <w:instrText xml:space="preserve"> PAGE   \* MERGEFORMAT </w:instrText>
        </w:r>
        <w:r>
          <w:fldChar w:fldCharType="separate"/>
        </w:r>
        <w:r w:rsidR="00504AE2">
          <w:rPr>
            <w:noProof/>
          </w:rPr>
          <w:t>24</w:t>
        </w:r>
        <w:r>
          <w:rPr>
            <w:noProof/>
          </w:rPr>
          <w:fldChar w:fldCharType="end"/>
        </w:r>
      </w:p>
    </w:sdtContent>
  </w:sdt>
  <w:p w:rsidR="00743505" w:rsidRDefault="0074350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D41ED"/>
    <w:multiLevelType w:val="multilevel"/>
    <w:tmpl w:val="C602EA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3C00947"/>
    <w:multiLevelType w:val="multilevel"/>
    <w:tmpl w:val="4CD280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1BF7946"/>
    <w:multiLevelType w:val="multilevel"/>
    <w:tmpl w:val="789C7A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766607D"/>
    <w:multiLevelType w:val="multilevel"/>
    <w:tmpl w:val="B71C5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7D447E7"/>
    <w:multiLevelType w:val="multilevel"/>
    <w:tmpl w:val="6360C4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21240C1"/>
    <w:multiLevelType w:val="multilevel"/>
    <w:tmpl w:val="E7FEA3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5237A33"/>
    <w:multiLevelType w:val="multilevel"/>
    <w:tmpl w:val="89E8F2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531073B"/>
    <w:multiLevelType w:val="multilevel"/>
    <w:tmpl w:val="360269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69D02ED"/>
    <w:multiLevelType w:val="multilevel"/>
    <w:tmpl w:val="C032B3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9265659"/>
    <w:multiLevelType w:val="multilevel"/>
    <w:tmpl w:val="B74A0A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7F441A5"/>
    <w:multiLevelType w:val="multilevel"/>
    <w:tmpl w:val="386CFE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9081CC7"/>
    <w:multiLevelType w:val="multilevel"/>
    <w:tmpl w:val="563221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F1A1950"/>
    <w:multiLevelType w:val="multilevel"/>
    <w:tmpl w:val="954CFD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F7A5332"/>
    <w:multiLevelType w:val="multilevel"/>
    <w:tmpl w:val="C86215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22B78FB"/>
    <w:multiLevelType w:val="multilevel"/>
    <w:tmpl w:val="F842B6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4D24C92"/>
    <w:multiLevelType w:val="multilevel"/>
    <w:tmpl w:val="864A40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AC32AAA"/>
    <w:multiLevelType w:val="multilevel"/>
    <w:tmpl w:val="DA7A0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AE005DC"/>
    <w:multiLevelType w:val="multilevel"/>
    <w:tmpl w:val="FA0AF6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D030331"/>
    <w:multiLevelType w:val="multilevel"/>
    <w:tmpl w:val="419C82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03F11A1"/>
    <w:multiLevelType w:val="multilevel"/>
    <w:tmpl w:val="E8161D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65843893"/>
    <w:multiLevelType w:val="multilevel"/>
    <w:tmpl w:val="31F26B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65D31639"/>
    <w:multiLevelType w:val="multilevel"/>
    <w:tmpl w:val="710AE850"/>
    <w:lvl w:ilvl="0">
      <w:start w:val="1"/>
      <w:numFmt w:val="bullet"/>
      <w:lvlText w:val="●"/>
      <w:lvlJc w:val="left"/>
      <w:pPr>
        <w:ind w:left="720" w:hanging="360"/>
      </w:pPr>
      <w:rPr>
        <w:u w:val="none"/>
        <w:shd w:val="clear" w:color="auto" w:fill="auto"/>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9EB2F37"/>
    <w:multiLevelType w:val="multilevel"/>
    <w:tmpl w:val="390031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6F920C83"/>
    <w:multiLevelType w:val="multilevel"/>
    <w:tmpl w:val="3F109B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769B6120"/>
    <w:multiLevelType w:val="multilevel"/>
    <w:tmpl w:val="B76C59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7B18252A"/>
    <w:multiLevelType w:val="multilevel"/>
    <w:tmpl w:val="E14E0B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7FED6E5D"/>
    <w:multiLevelType w:val="multilevel"/>
    <w:tmpl w:val="85C41D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4"/>
  </w:num>
  <w:num w:numId="3">
    <w:abstractNumId w:val="13"/>
  </w:num>
  <w:num w:numId="4">
    <w:abstractNumId w:val="0"/>
  </w:num>
  <w:num w:numId="5">
    <w:abstractNumId w:val="5"/>
  </w:num>
  <w:num w:numId="6">
    <w:abstractNumId w:val="23"/>
  </w:num>
  <w:num w:numId="7">
    <w:abstractNumId w:val="22"/>
  </w:num>
  <w:num w:numId="8">
    <w:abstractNumId w:val="15"/>
  </w:num>
  <w:num w:numId="9">
    <w:abstractNumId w:val="17"/>
  </w:num>
  <w:num w:numId="10">
    <w:abstractNumId w:val="7"/>
  </w:num>
  <w:num w:numId="11">
    <w:abstractNumId w:val="9"/>
  </w:num>
  <w:num w:numId="12">
    <w:abstractNumId w:val="8"/>
  </w:num>
  <w:num w:numId="13">
    <w:abstractNumId w:val="26"/>
  </w:num>
  <w:num w:numId="14">
    <w:abstractNumId w:val="1"/>
  </w:num>
  <w:num w:numId="15">
    <w:abstractNumId w:val="24"/>
  </w:num>
  <w:num w:numId="16">
    <w:abstractNumId w:val="6"/>
  </w:num>
  <w:num w:numId="17">
    <w:abstractNumId w:val="10"/>
  </w:num>
  <w:num w:numId="18">
    <w:abstractNumId w:val="20"/>
  </w:num>
  <w:num w:numId="19">
    <w:abstractNumId w:val="14"/>
  </w:num>
  <w:num w:numId="20">
    <w:abstractNumId w:val="19"/>
  </w:num>
  <w:num w:numId="21">
    <w:abstractNumId w:val="12"/>
  </w:num>
  <w:num w:numId="22">
    <w:abstractNumId w:val="3"/>
  </w:num>
  <w:num w:numId="23">
    <w:abstractNumId w:val="18"/>
  </w:num>
  <w:num w:numId="24">
    <w:abstractNumId w:val="16"/>
  </w:num>
  <w:num w:numId="25">
    <w:abstractNumId w:val="25"/>
  </w:num>
  <w:num w:numId="26">
    <w:abstractNumId w:val="11"/>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505"/>
    <w:rsid w:val="00504AE2"/>
    <w:rsid w:val="007358CE"/>
    <w:rsid w:val="00743505"/>
    <w:rsid w:val="008851AE"/>
    <w:rsid w:val="00BD37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A2F5C"/>
  <w15:docId w15:val="{2A10A020-C648-4F24-9D94-7C0937E81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uk"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ind w:firstLine="566"/>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b/>
      <w:color w:val="434343"/>
      <w:sz w:val="34"/>
      <w:szCs w:val="34"/>
    </w:rPr>
  </w:style>
  <w:style w:type="paragraph" w:styleId="4">
    <w:name w:val="heading 4"/>
    <w:basedOn w:val="a"/>
    <w:next w:val="a"/>
    <w:pPr>
      <w:keepNext/>
      <w:keepLines/>
      <w:spacing w:before="280" w:after="80"/>
      <w:outlineLvl w:val="3"/>
    </w:pPr>
    <w:rPr>
      <w:b/>
    </w:rPr>
  </w:style>
  <w:style w:type="paragraph" w:styleId="5">
    <w:name w:val="heading 5"/>
    <w:basedOn w:val="a"/>
    <w:next w:val="a"/>
    <w:pPr>
      <w:keepNext/>
      <w:keepLines/>
      <w:outlineLvl w:val="4"/>
    </w:pPr>
    <w:rPr>
      <w:b/>
    </w:rPr>
  </w:style>
  <w:style w:type="paragraph" w:styleId="6">
    <w:name w:val="heading 6"/>
    <w:basedOn w:val="a"/>
    <w:next w:val="a"/>
    <w:pPr>
      <w:keepNext/>
      <w:keepLines/>
      <w:spacing w:before="240" w:after="80"/>
      <w:outlineLvl w:val="5"/>
    </w:pPr>
    <w:rPr>
      <w:i/>
      <w:color w:val="666666"/>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rFonts w:ascii="Arial" w:eastAsia="Arial" w:hAnsi="Arial" w:cs="Arial"/>
      <w:color w:val="666666"/>
      <w:sz w:val="30"/>
      <w:szCs w:val="30"/>
    </w:rPr>
  </w:style>
  <w:style w:type="table" w:customStyle="1" w:styleId="a5">
    <w:basedOn w:val="TableNormal"/>
    <w:tblPr>
      <w:tblStyleRowBandSize w:val="1"/>
      <w:tblStyleColBandSize w:val="1"/>
      <w:tblCellMar>
        <w:top w:w="0" w:type="dxa"/>
        <w:left w:w="115" w:type="dxa"/>
        <w:bottom w:w="0" w:type="dxa"/>
        <w:right w:w="115" w:type="dxa"/>
      </w:tblCellMar>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paragraph" w:styleId="a9">
    <w:name w:val="header"/>
    <w:basedOn w:val="a"/>
    <w:link w:val="aa"/>
    <w:uiPriority w:val="99"/>
    <w:unhideWhenUsed/>
    <w:rsid w:val="008851AE"/>
    <w:pPr>
      <w:tabs>
        <w:tab w:val="center" w:pos="4680"/>
        <w:tab w:val="right" w:pos="9360"/>
      </w:tabs>
      <w:spacing w:after="0" w:line="240" w:lineRule="auto"/>
    </w:pPr>
  </w:style>
  <w:style w:type="character" w:customStyle="1" w:styleId="aa">
    <w:name w:val="Верхній колонтитул Знак"/>
    <w:basedOn w:val="a0"/>
    <w:link w:val="a9"/>
    <w:uiPriority w:val="99"/>
    <w:rsid w:val="008851AE"/>
  </w:style>
  <w:style w:type="paragraph" w:styleId="ab">
    <w:name w:val="footer"/>
    <w:basedOn w:val="a"/>
    <w:link w:val="ac"/>
    <w:uiPriority w:val="99"/>
    <w:unhideWhenUsed/>
    <w:rsid w:val="008851AE"/>
    <w:pPr>
      <w:tabs>
        <w:tab w:val="center" w:pos="4680"/>
        <w:tab w:val="right" w:pos="9360"/>
      </w:tabs>
      <w:spacing w:after="0" w:line="240" w:lineRule="auto"/>
    </w:pPr>
  </w:style>
  <w:style w:type="character" w:customStyle="1" w:styleId="ac">
    <w:name w:val="Нижній колонтитул Знак"/>
    <w:basedOn w:val="a0"/>
    <w:link w:val="ab"/>
    <w:uiPriority w:val="99"/>
    <w:rsid w:val="008851AE"/>
  </w:style>
  <w:style w:type="paragraph" w:styleId="ad">
    <w:name w:val="Balloon Text"/>
    <w:basedOn w:val="a"/>
    <w:link w:val="ae"/>
    <w:uiPriority w:val="99"/>
    <w:semiHidden/>
    <w:unhideWhenUsed/>
    <w:rsid w:val="00504AE2"/>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504AE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da.gov.ua" TargetMode="External"/><Relationship Id="rId18" Type="http://schemas.openxmlformats.org/officeDocument/2006/relationships/image" Target="media/image2.pn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loda.gov.ua/documents/141098" TargetMode="External"/><Relationship Id="rId12" Type="http://schemas.openxmlformats.org/officeDocument/2006/relationships/hyperlink" Target="https://stat.loda.gov.ua/" TargetMode="External"/><Relationship Id="rId17" Type="http://schemas.openxmlformats.org/officeDocument/2006/relationships/hyperlink" Target="https://data.loda.gov.ua/dataset/32d3f3ad-fb5d-4e34-8f84-0cb118cd20d4" TargetMode="External"/><Relationship Id="rId2" Type="http://schemas.openxmlformats.org/officeDocument/2006/relationships/styles" Target="styles.xml"/><Relationship Id="rId16" Type="http://schemas.openxmlformats.org/officeDocument/2006/relationships/hyperlink" Target="https://loda.gov.ua/documents/141098" TargetMode="External"/><Relationship Id="rId20" Type="http://schemas.openxmlformats.org/officeDocument/2006/relationships/hyperlink" Target="https://loda.gov.ua/documents/4583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pl.loda.gov.ua" TargetMode="External"/><Relationship Id="rId5" Type="http://schemas.openxmlformats.org/officeDocument/2006/relationships/footnotes" Target="footnotes.xml"/><Relationship Id="rId15" Type="http://schemas.openxmlformats.org/officeDocument/2006/relationships/hyperlink" Target="https://stat.loda.gov.ua/" TargetMode="External"/><Relationship Id="rId23" Type="http://schemas.openxmlformats.org/officeDocument/2006/relationships/theme" Target="theme/theme1.xml"/><Relationship Id="rId10" Type="http://schemas.openxmlformats.org/officeDocument/2006/relationships/hyperlink" Target="https://zakon.rada.gov.ua/laws/show/2524-20" TargetMode="External"/><Relationship Id="rId19"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s://data.loda.gov.ua/dataset/2a4d78f6-4649-4a6d-acd0-5e10dbeaa824" TargetMode="External"/><Relationship Id="rId14" Type="http://schemas.openxmlformats.org/officeDocument/2006/relationships/hyperlink" Target="https://apl.loda.gov.ua"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29</Pages>
  <Words>8709</Words>
  <Characters>49646</Characters>
  <Application>Microsoft Office Word</Application>
  <DocSecurity>0</DocSecurity>
  <Lines>413</Lines>
  <Paragraphs>116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58239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cp:lastPrinted>2025-09-04T12:05:00Z</cp:lastPrinted>
  <dcterms:created xsi:type="dcterms:W3CDTF">2025-09-04T11:56:00Z</dcterms:created>
  <dcterms:modified xsi:type="dcterms:W3CDTF">2025-09-04T12:14:00Z</dcterms:modified>
</cp:coreProperties>
</file>